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CC" w:rsidRPr="00E7370A" w:rsidRDefault="001B33A6">
      <w:pPr>
        <w:pStyle w:val="31"/>
        <w:ind w:firstLine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Титульний аркуш Повідомлення</w:t>
      </w:r>
    </w:p>
    <w:p w:rsidR="001B33A6" w:rsidRDefault="001B33A6">
      <w:pPr>
        <w:pStyle w:val="3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(Повідомлення про інформацію) </w:t>
      </w:r>
    </w:p>
    <w:p w:rsidR="001B33A6" w:rsidRPr="00FF18CA" w:rsidRDefault="001B33A6">
      <w:pPr>
        <w:pStyle w:val="31"/>
        <w:ind w:firstLine="0"/>
        <w:rPr>
          <w:b/>
          <w:bCs/>
          <w:sz w:val="20"/>
          <w:szCs w:val="20"/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0"/>
      </w:tblGrid>
      <w:tr w:rsidR="00BA2213" w:rsidRPr="00B55B27" w:rsidTr="00BA2213">
        <w:tc>
          <w:tcPr>
            <w:tcW w:w="3510" w:type="dxa"/>
            <w:tcBorders>
              <w:bottom w:val="single" w:sz="4" w:space="0" w:color="auto"/>
            </w:tcBorders>
          </w:tcPr>
          <w:p w:rsidR="00BA2213" w:rsidRPr="00B55B27" w:rsidRDefault="00BA2213" w:rsidP="00BA2213">
            <w:pPr>
              <w:ind w:right="-5"/>
              <w:jc w:val="both"/>
              <w:rPr>
                <w:sz w:val="24"/>
                <w:szCs w:val="24"/>
                <w:lang w:val="en-US"/>
              </w:rPr>
            </w:pPr>
            <w:r w:rsidRPr="00B55B27">
              <w:rPr>
                <w:sz w:val="24"/>
                <w:szCs w:val="24"/>
                <w:lang w:val="en-US"/>
              </w:rPr>
              <w:t>26.04.2021</w:t>
            </w:r>
          </w:p>
        </w:tc>
      </w:tr>
      <w:tr w:rsidR="00BA2213" w:rsidRPr="00B55B27" w:rsidTr="00BA2213">
        <w:tc>
          <w:tcPr>
            <w:tcW w:w="3510" w:type="dxa"/>
            <w:tcBorders>
              <w:top w:val="single" w:sz="4" w:space="0" w:color="auto"/>
            </w:tcBorders>
          </w:tcPr>
          <w:p w:rsidR="00BA2213" w:rsidRPr="00B55B27" w:rsidRDefault="00BA2213" w:rsidP="00BA2213">
            <w:pPr>
              <w:tabs>
                <w:tab w:val="left" w:pos="5137"/>
              </w:tabs>
              <w:rPr>
                <w:sz w:val="24"/>
                <w:szCs w:val="24"/>
              </w:rPr>
            </w:pPr>
            <w:r w:rsidRPr="00B55B27">
              <w:rPr>
                <w:sz w:val="24"/>
                <w:szCs w:val="24"/>
              </w:rPr>
              <w:t>(дата реєстрації емітентом електронного документа)</w:t>
            </w:r>
          </w:p>
        </w:tc>
      </w:tr>
      <w:tr w:rsidR="00BA2213" w:rsidRPr="00B55B27" w:rsidTr="00BA2213">
        <w:tc>
          <w:tcPr>
            <w:tcW w:w="3510" w:type="dxa"/>
            <w:tcBorders>
              <w:bottom w:val="single" w:sz="4" w:space="0" w:color="auto"/>
            </w:tcBorders>
          </w:tcPr>
          <w:p w:rsidR="00BA2213" w:rsidRPr="00B55B27" w:rsidRDefault="00BA2213" w:rsidP="00BA2213">
            <w:pPr>
              <w:ind w:right="-5"/>
              <w:jc w:val="both"/>
              <w:rPr>
                <w:sz w:val="24"/>
                <w:szCs w:val="24"/>
                <w:lang w:val="en-US"/>
              </w:rPr>
            </w:pPr>
            <w:r w:rsidRPr="00B55B27">
              <w:rPr>
                <w:sz w:val="24"/>
                <w:szCs w:val="24"/>
                <w:lang w:val="ru-RU"/>
              </w:rPr>
              <w:t xml:space="preserve">№ </w:t>
            </w:r>
            <w:r w:rsidRPr="00B55B27">
              <w:rPr>
                <w:sz w:val="24"/>
                <w:szCs w:val="24"/>
                <w:lang w:val="en-US"/>
              </w:rPr>
              <w:t>18</w:t>
            </w:r>
          </w:p>
        </w:tc>
      </w:tr>
      <w:tr w:rsidR="00BA2213" w:rsidRPr="00B55B27" w:rsidTr="00BA2213">
        <w:tc>
          <w:tcPr>
            <w:tcW w:w="3510" w:type="dxa"/>
            <w:tcBorders>
              <w:top w:val="single" w:sz="4" w:space="0" w:color="auto"/>
            </w:tcBorders>
          </w:tcPr>
          <w:p w:rsidR="00BA2213" w:rsidRPr="00B55B27" w:rsidRDefault="00BA2213" w:rsidP="00BA2213">
            <w:pPr>
              <w:rPr>
                <w:sz w:val="24"/>
                <w:szCs w:val="24"/>
              </w:rPr>
            </w:pPr>
            <w:r w:rsidRPr="00B55B27">
              <w:rPr>
                <w:sz w:val="24"/>
                <w:szCs w:val="24"/>
              </w:rPr>
              <w:t>(вихідний реєстраційний номер електронного документа)</w:t>
            </w:r>
          </w:p>
        </w:tc>
      </w:tr>
    </w:tbl>
    <w:p w:rsidR="00AE7CE9" w:rsidRPr="00E7370A" w:rsidRDefault="00AE7CE9" w:rsidP="008A1D83">
      <w:pPr>
        <w:ind w:right="3968"/>
        <w:jc w:val="both"/>
        <w:rPr>
          <w:lang w:val="ru-RU"/>
        </w:rPr>
      </w:pPr>
    </w:p>
    <w:p w:rsidR="001B33A6" w:rsidRPr="00E7370A" w:rsidRDefault="008A1D83" w:rsidP="008A1D83">
      <w:pPr>
        <w:ind w:right="-1"/>
        <w:jc w:val="both"/>
        <w:rPr>
          <w:sz w:val="24"/>
          <w:szCs w:val="24"/>
          <w:lang w:val="ru-RU"/>
        </w:rPr>
      </w:pPr>
      <w:r w:rsidRPr="00B55B27">
        <w:rPr>
          <w:sz w:val="24"/>
          <w:szCs w:val="24"/>
        </w:rPr>
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2826, зареєстрованого в Міністерстві юстиції України 24 грудня 2013 року за № 2180/24712 (із змінами)</w:t>
      </w:r>
      <w:r w:rsidRPr="00E7370A">
        <w:rPr>
          <w:sz w:val="24"/>
          <w:szCs w:val="24"/>
          <w:lang w:val="ru-RU"/>
        </w:rPr>
        <w:t>.</w:t>
      </w:r>
    </w:p>
    <w:p w:rsidR="001B33A6" w:rsidRPr="00E7370A" w:rsidRDefault="001B33A6">
      <w:pPr>
        <w:pStyle w:val="31"/>
        <w:ind w:firstLine="0"/>
        <w:rPr>
          <w:b/>
          <w:bCs/>
          <w:sz w:val="20"/>
          <w:szCs w:val="20"/>
          <w:lang w:val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2268"/>
        <w:gridCol w:w="284"/>
        <w:gridCol w:w="3685"/>
      </w:tblGrid>
      <w:tr w:rsidR="001B33A6" w:rsidTr="00BA2213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3A6" w:rsidRDefault="001B33A6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 xml:space="preserve">Голова </w:t>
            </w:r>
            <w:proofErr w:type="spellStart"/>
            <w:r>
              <w:rPr>
                <w:snapToGrid w:val="0"/>
                <w:sz w:val="28"/>
                <w:szCs w:val="28"/>
                <w:lang w:val="en-US"/>
              </w:rPr>
              <w:t>правління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33A6" w:rsidRDefault="001B33A6">
            <w:pPr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3A6" w:rsidRDefault="001B33A6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33A6" w:rsidRDefault="001B33A6">
            <w:pPr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3A6" w:rsidRDefault="001B33A6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proofErr w:type="spellStart"/>
            <w:r>
              <w:rPr>
                <w:snapToGrid w:val="0"/>
                <w:sz w:val="28"/>
                <w:szCs w:val="28"/>
                <w:lang w:val="en-US"/>
              </w:rPr>
              <w:t>Швая</w:t>
            </w:r>
            <w:proofErr w:type="spellEnd"/>
            <w:r>
              <w:rPr>
                <w:snapToGrid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  <w:lang w:val="en-US"/>
              </w:rPr>
              <w:t>Андрій</w:t>
            </w:r>
            <w:proofErr w:type="spellEnd"/>
            <w:r>
              <w:rPr>
                <w:snapToGrid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  <w:lang w:val="en-US"/>
              </w:rPr>
              <w:t>Дмитрович</w:t>
            </w:r>
            <w:proofErr w:type="spellEnd"/>
          </w:p>
        </w:tc>
      </w:tr>
      <w:tr w:rsidR="00BA2213" w:rsidRPr="00E7370A" w:rsidTr="0015698C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213" w:rsidRDefault="00BA2213">
            <w:pPr>
              <w:jc w:val="center"/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(посада)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2213" w:rsidRDefault="00BA221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213" w:rsidRDefault="00BA2213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(підпис)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213" w:rsidRDefault="00BA221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nil"/>
            </w:tcBorders>
          </w:tcPr>
          <w:p w:rsidR="00BA2213" w:rsidRPr="00E7370A" w:rsidRDefault="00BA2213">
            <w:pPr>
              <w:jc w:val="center"/>
              <w:rPr>
                <w:snapToGrid w:val="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(прізвище та ініціали керівника</w:t>
            </w:r>
            <w:r w:rsidR="00E746E7" w:rsidRPr="00E746E7">
              <w:rPr>
                <w:sz w:val="18"/>
                <w:szCs w:val="18"/>
              </w:rPr>
              <w:t xml:space="preserve"> або уповноваженої особи емітента</w:t>
            </w:r>
            <w:r>
              <w:rPr>
                <w:sz w:val="18"/>
                <w:szCs w:val="18"/>
              </w:rPr>
              <w:t>)</w:t>
            </w:r>
          </w:p>
        </w:tc>
      </w:tr>
      <w:tr w:rsidR="001B33A6" w:rsidTr="00BA22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2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33A6" w:rsidRPr="00095537" w:rsidRDefault="00095537">
            <w:pPr>
              <w:pStyle w:val="1"/>
            </w:pPr>
            <w:r w:rsidRPr="00095537">
              <w:t>Особлива інформація (інформація про іпотечні цінні папери, сертифікати фонду операцій з нерухомістю) емітента</w:t>
            </w:r>
          </w:p>
          <w:p w:rsidR="001B33A6" w:rsidRPr="00642C42" w:rsidRDefault="001B33A6">
            <w:pPr>
              <w:jc w:val="center"/>
              <w:rPr>
                <w:lang w:val="ru-RU"/>
              </w:rPr>
            </w:pPr>
            <w:r w:rsidRPr="00642C42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</w:rPr>
              <w:t>Прийняття рішення про попереднє надання згоди на вчинення значних правочинів</w:t>
            </w:r>
            <w:r w:rsidRPr="00642C42">
              <w:rPr>
                <w:sz w:val="28"/>
                <w:szCs w:val="28"/>
                <w:lang w:val="ru-RU"/>
              </w:rPr>
              <w:t>)</w:t>
            </w:r>
          </w:p>
          <w:p w:rsidR="001B33A6" w:rsidRDefault="001B33A6" w:rsidP="00AE02A0">
            <w:pPr>
              <w:pStyle w:val="3"/>
              <w:spacing w:before="120"/>
              <w:jc w:val="center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  <w:lang w:val="en-US"/>
              </w:rPr>
            </w:pPr>
            <w:smartTag w:uri="urn:schemas-microsoft-com:office:smarttags" w:element="place">
              <w:r>
                <w:rPr>
                  <w:rFonts w:ascii="Times New Roman" w:hAnsi="Times New Roman" w:cs="Times New Roman"/>
                  <w:lang w:val="en-US"/>
                </w:rPr>
                <w:t>I</w:t>
              </w:r>
              <w:r>
                <w:rPr>
                  <w:rFonts w:ascii="Times New Roman" w:hAnsi="Times New Roman" w:cs="Times New Roman"/>
                </w:rPr>
                <w:t>.</w:t>
              </w:r>
            </w:smartTag>
            <w:r>
              <w:rPr>
                <w:rFonts w:ascii="Times New Roman" w:hAnsi="Times New Roman" w:cs="Times New Roman"/>
              </w:rPr>
              <w:t xml:space="preserve"> Загальні відомості</w:t>
            </w:r>
          </w:p>
        </w:tc>
      </w:tr>
    </w:tbl>
    <w:p w:rsidR="001B33A6" w:rsidRDefault="001B33A6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1. Повне найменування емітента: ПРИВАТНЕ АКЦIОНЕРНЕ ТОВАРИСТВО "РIВНЕРИБГОСП"</w:t>
      </w:r>
    </w:p>
    <w:p w:rsidR="001B33A6" w:rsidRDefault="001B33A6">
      <w:pPr>
        <w:pStyle w:val="a4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</w:rPr>
        <w:t>2. Організаційно-правова форма</w:t>
      </w:r>
      <w:r>
        <w:rPr>
          <w:sz w:val="28"/>
          <w:szCs w:val="28"/>
          <w:lang w:val="ru-RU"/>
        </w:rPr>
        <w:t xml:space="preserve">: </w:t>
      </w:r>
      <w:proofErr w:type="spellStart"/>
      <w:r w:rsidR="00642C42">
        <w:rPr>
          <w:sz w:val="28"/>
          <w:szCs w:val="28"/>
          <w:lang w:val="ru-RU"/>
        </w:rPr>
        <w:t>Приватне</w:t>
      </w:r>
      <w:proofErr w:type="spellEnd"/>
      <w:r w:rsidR="00642C42">
        <w:rPr>
          <w:sz w:val="28"/>
          <w:szCs w:val="28"/>
          <w:lang w:val="ru-RU"/>
        </w:rPr>
        <w:t xml:space="preserve"> </w:t>
      </w:r>
      <w:proofErr w:type="spellStart"/>
      <w:r w:rsidR="00642C42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кціонерне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товариство</w:t>
      </w:r>
      <w:proofErr w:type="spellEnd"/>
    </w:p>
    <w:p w:rsidR="001B33A6" w:rsidRPr="00642C42" w:rsidRDefault="001B33A6">
      <w:pPr>
        <w:pStyle w:val="a4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</w:rPr>
        <w:t>3. Місцезнаходження</w:t>
      </w:r>
      <w:r w:rsidRPr="00642C42">
        <w:rPr>
          <w:sz w:val="28"/>
          <w:szCs w:val="28"/>
          <w:lang w:val="ru-RU"/>
        </w:rPr>
        <w:t>: 35332</w:t>
      </w:r>
      <w:r w:rsidR="000B4697" w:rsidRPr="00642C42">
        <w:rPr>
          <w:sz w:val="28"/>
          <w:szCs w:val="28"/>
          <w:lang w:val="ru-RU"/>
        </w:rPr>
        <w:t>, Р</w:t>
      </w:r>
      <w:r w:rsidR="000B4697">
        <w:rPr>
          <w:sz w:val="28"/>
          <w:szCs w:val="28"/>
          <w:lang w:val="en-US"/>
        </w:rPr>
        <w:t>i</w:t>
      </w:r>
      <w:proofErr w:type="spellStart"/>
      <w:r w:rsidR="000B4697" w:rsidRPr="00642C42">
        <w:rPr>
          <w:sz w:val="28"/>
          <w:szCs w:val="28"/>
          <w:lang w:val="ru-RU"/>
        </w:rPr>
        <w:t>вненська</w:t>
      </w:r>
      <w:proofErr w:type="spellEnd"/>
      <w:r w:rsidR="000B4697" w:rsidRPr="00642C42">
        <w:rPr>
          <w:sz w:val="28"/>
          <w:szCs w:val="28"/>
          <w:lang w:val="ru-RU"/>
        </w:rPr>
        <w:t>,</w:t>
      </w:r>
      <w:r w:rsidRPr="00642C42">
        <w:rPr>
          <w:sz w:val="28"/>
          <w:szCs w:val="28"/>
          <w:lang w:val="ru-RU"/>
        </w:rPr>
        <w:t xml:space="preserve"> с. </w:t>
      </w:r>
      <w:proofErr w:type="spellStart"/>
      <w:r w:rsidRPr="00642C42">
        <w:rPr>
          <w:sz w:val="28"/>
          <w:szCs w:val="28"/>
          <w:lang w:val="ru-RU"/>
        </w:rPr>
        <w:t>Понебель</w:t>
      </w:r>
      <w:proofErr w:type="spellEnd"/>
      <w:r w:rsidR="000B4697" w:rsidRPr="00642C42">
        <w:rPr>
          <w:sz w:val="28"/>
          <w:szCs w:val="28"/>
          <w:lang w:val="ru-RU"/>
        </w:rPr>
        <w:t>,</w:t>
      </w:r>
      <w:r w:rsidRPr="00642C42">
        <w:rPr>
          <w:sz w:val="28"/>
          <w:szCs w:val="28"/>
          <w:lang w:val="ru-RU"/>
        </w:rPr>
        <w:t xml:space="preserve"> </w:t>
      </w:r>
      <w:proofErr w:type="spellStart"/>
      <w:r w:rsidRPr="00642C42">
        <w:rPr>
          <w:sz w:val="28"/>
          <w:szCs w:val="28"/>
          <w:lang w:val="ru-RU"/>
        </w:rPr>
        <w:t>вул</w:t>
      </w:r>
      <w:proofErr w:type="spellEnd"/>
      <w:r w:rsidRPr="00642C42">
        <w:rPr>
          <w:sz w:val="28"/>
          <w:szCs w:val="28"/>
          <w:lang w:val="ru-RU"/>
        </w:rPr>
        <w:t xml:space="preserve">. </w:t>
      </w:r>
      <w:proofErr w:type="spellStart"/>
      <w:r w:rsidRPr="00642C42">
        <w:rPr>
          <w:sz w:val="28"/>
          <w:szCs w:val="28"/>
          <w:lang w:val="ru-RU"/>
        </w:rPr>
        <w:t>Вербова</w:t>
      </w:r>
      <w:proofErr w:type="spellEnd"/>
      <w:r w:rsidRPr="00642C42">
        <w:rPr>
          <w:sz w:val="28"/>
          <w:szCs w:val="28"/>
          <w:lang w:val="ru-RU"/>
        </w:rPr>
        <w:t>, 5</w:t>
      </w:r>
    </w:p>
    <w:p w:rsidR="001B33A6" w:rsidRPr="00642C42" w:rsidRDefault="001B33A6">
      <w:pPr>
        <w:pStyle w:val="a4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4. </w:t>
      </w:r>
      <w:r w:rsidR="007A4F01" w:rsidRPr="007A4F01">
        <w:rPr>
          <w:sz w:val="28"/>
          <w:szCs w:val="28"/>
          <w:lang w:val="ru-RU"/>
        </w:rPr>
        <w:t>Ідентифікаційний</w:t>
      </w:r>
      <w:r w:rsidR="007A4F01" w:rsidRPr="00642C42">
        <w:rPr>
          <w:sz w:val="28"/>
          <w:szCs w:val="28"/>
          <w:lang w:val="ru-RU"/>
        </w:rPr>
        <w:t xml:space="preserve"> </w:t>
      </w:r>
      <w:r w:rsidR="007A4F01" w:rsidRPr="007A4F01">
        <w:rPr>
          <w:sz w:val="28"/>
          <w:szCs w:val="28"/>
          <w:lang w:val="ru-RU"/>
        </w:rPr>
        <w:t>код</w:t>
      </w:r>
      <w:r w:rsidR="007A4F01" w:rsidRPr="00642C42">
        <w:rPr>
          <w:sz w:val="28"/>
          <w:szCs w:val="28"/>
          <w:lang w:val="ru-RU"/>
        </w:rPr>
        <w:t xml:space="preserve"> </w:t>
      </w:r>
      <w:proofErr w:type="spellStart"/>
      <w:r w:rsidR="007A4F01" w:rsidRPr="007A4F01">
        <w:rPr>
          <w:sz w:val="28"/>
          <w:szCs w:val="28"/>
          <w:lang w:val="ru-RU"/>
        </w:rPr>
        <w:t>юридичної</w:t>
      </w:r>
      <w:proofErr w:type="spellEnd"/>
      <w:r w:rsidR="007A4F01" w:rsidRPr="00642C42">
        <w:rPr>
          <w:sz w:val="28"/>
          <w:szCs w:val="28"/>
          <w:lang w:val="ru-RU"/>
        </w:rPr>
        <w:t xml:space="preserve"> </w:t>
      </w:r>
      <w:r w:rsidR="007A4F01" w:rsidRPr="007A4F01">
        <w:rPr>
          <w:sz w:val="28"/>
          <w:szCs w:val="28"/>
          <w:lang w:val="ru-RU"/>
        </w:rPr>
        <w:t>особи</w:t>
      </w:r>
      <w:r w:rsidRPr="00642C42">
        <w:rPr>
          <w:sz w:val="28"/>
          <w:szCs w:val="28"/>
          <w:lang w:val="ru-RU"/>
        </w:rPr>
        <w:t>: 00476754</w:t>
      </w:r>
    </w:p>
    <w:p w:rsidR="001B33A6" w:rsidRDefault="001B33A6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5. Міжміський код та телефон, факс: (03622) 5-22-20 (03622) 5-22-20</w:t>
      </w:r>
    </w:p>
    <w:p w:rsidR="001B33A6" w:rsidRPr="00E7370A" w:rsidRDefault="001B33A6">
      <w:pPr>
        <w:pStyle w:val="a4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6. </w:t>
      </w:r>
      <w:r w:rsidR="004C3CCA" w:rsidRPr="004C3CCA">
        <w:rPr>
          <w:sz w:val="28"/>
          <w:szCs w:val="28"/>
        </w:rPr>
        <w:t>Адреса електронної пошти</w:t>
      </w:r>
      <w:r>
        <w:rPr>
          <w:sz w:val="28"/>
          <w:szCs w:val="28"/>
          <w:lang w:val="ru-RU"/>
        </w:rPr>
        <w:t>: mirvik@ukr.net</w:t>
      </w:r>
    </w:p>
    <w:p w:rsidR="000304CB" w:rsidRPr="00107F3B" w:rsidRDefault="000304CB">
      <w:pPr>
        <w:pStyle w:val="a4"/>
        <w:spacing w:before="0" w:after="0"/>
        <w:rPr>
          <w:sz w:val="28"/>
          <w:szCs w:val="28"/>
        </w:rPr>
      </w:pPr>
      <w:r w:rsidRPr="00642C42">
        <w:rPr>
          <w:sz w:val="28"/>
          <w:szCs w:val="28"/>
          <w:lang w:val="ru-RU"/>
        </w:rPr>
        <w:t xml:space="preserve">7. </w:t>
      </w:r>
      <w:proofErr w:type="spellStart"/>
      <w:r w:rsidRPr="00642C42">
        <w:rPr>
          <w:sz w:val="28"/>
          <w:szCs w:val="28"/>
          <w:lang w:val="ru-RU"/>
        </w:rPr>
        <w:t>Найменування</w:t>
      </w:r>
      <w:proofErr w:type="spellEnd"/>
      <w:r w:rsidRPr="00642C42">
        <w:rPr>
          <w:sz w:val="28"/>
          <w:szCs w:val="28"/>
          <w:lang w:val="ru-RU"/>
        </w:rPr>
        <w:t xml:space="preserve">, </w:t>
      </w:r>
      <w:proofErr w:type="spellStart"/>
      <w:r w:rsidRPr="00642C42">
        <w:rPr>
          <w:sz w:val="28"/>
          <w:szCs w:val="28"/>
          <w:lang w:val="ru-RU"/>
        </w:rPr>
        <w:t>ідентифікаційний</w:t>
      </w:r>
      <w:proofErr w:type="spellEnd"/>
      <w:r w:rsidRPr="00642C42">
        <w:rPr>
          <w:sz w:val="28"/>
          <w:szCs w:val="28"/>
          <w:lang w:val="ru-RU"/>
        </w:rPr>
        <w:t xml:space="preserve"> код </w:t>
      </w:r>
      <w:proofErr w:type="spellStart"/>
      <w:r w:rsidRPr="00642C42">
        <w:rPr>
          <w:sz w:val="28"/>
          <w:szCs w:val="28"/>
          <w:lang w:val="ru-RU"/>
        </w:rPr>
        <w:t>юридичної</w:t>
      </w:r>
      <w:proofErr w:type="spellEnd"/>
      <w:r w:rsidRPr="00642C42">
        <w:rPr>
          <w:sz w:val="28"/>
          <w:szCs w:val="28"/>
          <w:lang w:val="ru-RU"/>
        </w:rPr>
        <w:t xml:space="preserve"> особи, </w:t>
      </w:r>
      <w:proofErr w:type="spellStart"/>
      <w:r w:rsidRPr="00642C42">
        <w:rPr>
          <w:sz w:val="28"/>
          <w:szCs w:val="28"/>
          <w:lang w:val="ru-RU"/>
        </w:rPr>
        <w:t>країна</w:t>
      </w:r>
      <w:proofErr w:type="spellEnd"/>
      <w:r w:rsidRPr="00642C42">
        <w:rPr>
          <w:sz w:val="28"/>
          <w:szCs w:val="28"/>
          <w:lang w:val="ru-RU"/>
        </w:rPr>
        <w:t xml:space="preserve"> </w:t>
      </w:r>
      <w:proofErr w:type="spellStart"/>
      <w:r w:rsidRPr="00642C42">
        <w:rPr>
          <w:sz w:val="28"/>
          <w:szCs w:val="28"/>
          <w:lang w:val="ru-RU"/>
        </w:rPr>
        <w:t>реєстрації</w:t>
      </w:r>
      <w:proofErr w:type="spellEnd"/>
      <w:r w:rsidRPr="00642C42">
        <w:rPr>
          <w:sz w:val="28"/>
          <w:szCs w:val="28"/>
          <w:lang w:val="ru-RU"/>
        </w:rPr>
        <w:t xml:space="preserve"> </w:t>
      </w:r>
      <w:proofErr w:type="spellStart"/>
      <w:r w:rsidRPr="00642C42">
        <w:rPr>
          <w:sz w:val="28"/>
          <w:szCs w:val="28"/>
          <w:lang w:val="ru-RU"/>
        </w:rPr>
        <w:t>юридичної</w:t>
      </w:r>
      <w:proofErr w:type="spellEnd"/>
      <w:r w:rsidRPr="00642C42">
        <w:rPr>
          <w:sz w:val="28"/>
          <w:szCs w:val="28"/>
          <w:lang w:val="ru-RU"/>
        </w:rPr>
        <w:t xml:space="preserve"> особи та номер </w:t>
      </w:r>
      <w:proofErr w:type="spellStart"/>
      <w:r w:rsidRPr="00642C42">
        <w:rPr>
          <w:sz w:val="28"/>
          <w:szCs w:val="28"/>
          <w:lang w:val="ru-RU"/>
        </w:rPr>
        <w:t>свідоцтва</w:t>
      </w:r>
      <w:proofErr w:type="spellEnd"/>
      <w:r w:rsidRPr="00642C42">
        <w:rPr>
          <w:sz w:val="28"/>
          <w:szCs w:val="28"/>
          <w:lang w:val="ru-RU"/>
        </w:rPr>
        <w:t xml:space="preserve"> про </w:t>
      </w:r>
      <w:proofErr w:type="spellStart"/>
      <w:r w:rsidRPr="00642C42">
        <w:rPr>
          <w:sz w:val="28"/>
          <w:szCs w:val="28"/>
          <w:lang w:val="ru-RU"/>
        </w:rPr>
        <w:t>включення</w:t>
      </w:r>
      <w:proofErr w:type="spellEnd"/>
      <w:r w:rsidRPr="00642C42">
        <w:rPr>
          <w:sz w:val="28"/>
          <w:szCs w:val="28"/>
          <w:lang w:val="ru-RU"/>
        </w:rPr>
        <w:t xml:space="preserve"> до </w:t>
      </w:r>
      <w:proofErr w:type="spellStart"/>
      <w:r w:rsidRPr="00642C42">
        <w:rPr>
          <w:sz w:val="28"/>
          <w:szCs w:val="28"/>
          <w:lang w:val="ru-RU"/>
        </w:rPr>
        <w:t>Реєстру</w:t>
      </w:r>
      <w:proofErr w:type="spellEnd"/>
      <w:r w:rsidRPr="00642C42">
        <w:rPr>
          <w:sz w:val="28"/>
          <w:szCs w:val="28"/>
          <w:lang w:val="ru-RU"/>
        </w:rPr>
        <w:t xml:space="preserve"> </w:t>
      </w:r>
      <w:proofErr w:type="spellStart"/>
      <w:r w:rsidRPr="00642C42">
        <w:rPr>
          <w:sz w:val="28"/>
          <w:szCs w:val="28"/>
          <w:lang w:val="ru-RU"/>
        </w:rPr>
        <w:t>осіб</w:t>
      </w:r>
      <w:proofErr w:type="spellEnd"/>
      <w:r w:rsidRPr="00642C42">
        <w:rPr>
          <w:sz w:val="28"/>
          <w:szCs w:val="28"/>
          <w:lang w:val="ru-RU"/>
        </w:rPr>
        <w:t xml:space="preserve">, </w:t>
      </w:r>
      <w:proofErr w:type="spellStart"/>
      <w:r w:rsidRPr="00642C42">
        <w:rPr>
          <w:sz w:val="28"/>
          <w:szCs w:val="28"/>
          <w:lang w:val="ru-RU"/>
        </w:rPr>
        <w:t>уповноважених</w:t>
      </w:r>
      <w:proofErr w:type="spellEnd"/>
      <w:r w:rsidRPr="00642C42">
        <w:rPr>
          <w:sz w:val="28"/>
          <w:szCs w:val="28"/>
          <w:lang w:val="ru-RU"/>
        </w:rPr>
        <w:t xml:space="preserve"> </w:t>
      </w:r>
      <w:proofErr w:type="spellStart"/>
      <w:r w:rsidRPr="00642C42">
        <w:rPr>
          <w:sz w:val="28"/>
          <w:szCs w:val="28"/>
          <w:lang w:val="ru-RU"/>
        </w:rPr>
        <w:t>надавати</w:t>
      </w:r>
      <w:proofErr w:type="spellEnd"/>
      <w:r w:rsidRPr="00642C42">
        <w:rPr>
          <w:sz w:val="28"/>
          <w:szCs w:val="28"/>
          <w:lang w:val="ru-RU"/>
        </w:rPr>
        <w:t xml:space="preserve"> </w:t>
      </w:r>
      <w:proofErr w:type="spellStart"/>
      <w:r w:rsidRPr="00642C42">
        <w:rPr>
          <w:sz w:val="28"/>
          <w:szCs w:val="28"/>
          <w:lang w:val="ru-RU"/>
        </w:rPr>
        <w:t>інформаційні</w:t>
      </w:r>
      <w:proofErr w:type="spellEnd"/>
      <w:r w:rsidRPr="00642C42">
        <w:rPr>
          <w:sz w:val="28"/>
          <w:szCs w:val="28"/>
          <w:lang w:val="ru-RU"/>
        </w:rPr>
        <w:t xml:space="preserve"> </w:t>
      </w:r>
      <w:proofErr w:type="spellStart"/>
      <w:r w:rsidRPr="00642C42">
        <w:rPr>
          <w:sz w:val="28"/>
          <w:szCs w:val="28"/>
          <w:lang w:val="ru-RU"/>
        </w:rPr>
        <w:t>послуги</w:t>
      </w:r>
      <w:proofErr w:type="spellEnd"/>
      <w:r w:rsidRPr="00642C42">
        <w:rPr>
          <w:sz w:val="28"/>
          <w:szCs w:val="28"/>
          <w:lang w:val="ru-RU"/>
        </w:rPr>
        <w:t xml:space="preserve"> на фондовому ринку, особи, яка </w:t>
      </w:r>
      <w:proofErr w:type="spellStart"/>
      <w:r w:rsidRPr="00642C42">
        <w:rPr>
          <w:sz w:val="28"/>
          <w:szCs w:val="28"/>
          <w:lang w:val="ru-RU"/>
        </w:rPr>
        <w:t>здійснює</w:t>
      </w:r>
      <w:proofErr w:type="spellEnd"/>
      <w:r w:rsidRPr="00642C42">
        <w:rPr>
          <w:sz w:val="28"/>
          <w:szCs w:val="28"/>
          <w:lang w:val="ru-RU"/>
        </w:rPr>
        <w:t xml:space="preserve"> </w:t>
      </w:r>
      <w:proofErr w:type="spellStart"/>
      <w:r w:rsidRPr="00642C42">
        <w:rPr>
          <w:sz w:val="28"/>
          <w:szCs w:val="28"/>
          <w:lang w:val="ru-RU"/>
        </w:rPr>
        <w:t>оприлюднення</w:t>
      </w:r>
      <w:proofErr w:type="spellEnd"/>
      <w:r w:rsidRPr="00642C42">
        <w:rPr>
          <w:sz w:val="28"/>
          <w:szCs w:val="28"/>
          <w:lang w:val="ru-RU"/>
        </w:rPr>
        <w:t xml:space="preserve"> </w:t>
      </w:r>
      <w:proofErr w:type="spellStart"/>
      <w:r w:rsidRPr="00642C42">
        <w:rPr>
          <w:sz w:val="28"/>
          <w:szCs w:val="28"/>
          <w:lang w:val="ru-RU"/>
        </w:rPr>
        <w:t>регульованої</w:t>
      </w:r>
      <w:proofErr w:type="spellEnd"/>
      <w:r w:rsidRPr="00642C42">
        <w:rPr>
          <w:sz w:val="28"/>
          <w:szCs w:val="28"/>
          <w:lang w:val="ru-RU"/>
        </w:rPr>
        <w:t xml:space="preserve"> </w:t>
      </w:r>
      <w:proofErr w:type="spellStart"/>
      <w:r w:rsidRPr="00642C42">
        <w:rPr>
          <w:sz w:val="28"/>
          <w:szCs w:val="28"/>
          <w:lang w:val="ru-RU"/>
        </w:rPr>
        <w:t>інформації</w:t>
      </w:r>
      <w:proofErr w:type="spellEnd"/>
      <w:r w:rsidRPr="00642C42">
        <w:rPr>
          <w:sz w:val="28"/>
          <w:szCs w:val="28"/>
          <w:lang w:val="ru-RU"/>
        </w:rPr>
        <w:t xml:space="preserve"> </w:t>
      </w:r>
      <w:proofErr w:type="spellStart"/>
      <w:r w:rsidRPr="00642C42">
        <w:rPr>
          <w:sz w:val="28"/>
          <w:szCs w:val="28"/>
          <w:lang w:val="ru-RU"/>
        </w:rPr>
        <w:t>від</w:t>
      </w:r>
      <w:proofErr w:type="spellEnd"/>
      <w:r w:rsidRPr="00642C42">
        <w:rPr>
          <w:sz w:val="28"/>
          <w:szCs w:val="28"/>
          <w:lang w:val="ru-RU"/>
        </w:rPr>
        <w:t xml:space="preserve"> </w:t>
      </w:r>
      <w:proofErr w:type="spellStart"/>
      <w:r w:rsidRPr="00642C42">
        <w:rPr>
          <w:sz w:val="28"/>
          <w:szCs w:val="28"/>
          <w:lang w:val="ru-RU"/>
        </w:rPr>
        <w:t>імені</w:t>
      </w:r>
      <w:proofErr w:type="spellEnd"/>
      <w:r w:rsidRPr="00642C42">
        <w:rPr>
          <w:sz w:val="28"/>
          <w:szCs w:val="28"/>
          <w:lang w:val="ru-RU"/>
        </w:rPr>
        <w:t xml:space="preserve"> </w:t>
      </w:r>
      <w:proofErr w:type="spellStart"/>
      <w:r w:rsidRPr="00642C42">
        <w:rPr>
          <w:sz w:val="28"/>
          <w:szCs w:val="28"/>
          <w:lang w:val="ru-RU"/>
        </w:rPr>
        <w:t>учасника</w:t>
      </w:r>
      <w:proofErr w:type="spellEnd"/>
      <w:r w:rsidRPr="00642C42">
        <w:rPr>
          <w:sz w:val="28"/>
          <w:szCs w:val="28"/>
          <w:lang w:val="ru-RU"/>
        </w:rPr>
        <w:t xml:space="preserve"> фондового ринку</w:t>
      </w:r>
      <w:proofErr w:type="gramStart"/>
      <w:r w:rsidRPr="00642C42">
        <w:rPr>
          <w:sz w:val="28"/>
          <w:szCs w:val="28"/>
          <w:lang w:val="ru-RU"/>
        </w:rPr>
        <w:t>: ,</w:t>
      </w:r>
      <w:proofErr w:type="gramEnd"/>
      <w:r w:rsidRPr="00642C42">
        <w:rPr>
          <w:sz w:val="28"/>
          <w:szCs w:val="28"/>
          <w:lang w:val="ru-RU"/>
        </w:rPr>
        <w:t xml:space="preserve"> , , </w:t>
      </w:r>
    </w:p>
    <w:p w:rsidR="00E746E7" w:rsidRPr="00107F3B" w:rsidRDefault="00E746E7">
      <w:pPr>
        <w:pStyle w:val="a4"/>
        <w:spacing w:before="0" w:after="0"/>
        <w:rPr>
          <w:sz w:val="28"/>
          <w:szCs w:val="28"/>
        </w:rPr>
      </w:pPr>
      <w:r w:rsidRPr="00E7370A">
        <w:rPr>
          <w:sz w:val="28"/>
          <w:szCs w:val="28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 Державна установа «Агентство з розвитку інфраструктури фондового ринку України», 21676262, УКРАЇНА, DR/00002/ARM</w:t>
      </w:r>
    </w:p>
    <w:p w:rsidR="00ED5BD3" w:rsidRPr="00E7370A" w:rsidRDefault="001B33A6" w:rsidP="009F480F">
      <w:pPr>
        <w:pStyle w:val="3"/>
        <w:spacing w:before="120"/>
        <w:jc w:val="center"/>
        <w:rPr>
          <w:rFonts w:ascii="Times New Roman" w:hAnsi="Times New Roman" w:cs="Times New Roman"/>
          <w:lang w:val="ru-RU"/>
        </w:rPr>
      </w:pPr>
      <w:r w:rsidRPr="00987DCF">
        <w:rPr>
          <w:rFonts w:ascii="Times New Roman" w:hAnsi="Times New Roman" w:cs="Times New Roman"/>
        </w:rPr>
        <w:t>ІІ. Дані про дату та місце оприлюднення Повідомлення</w:t>
      </w:r>
    </w:p>
    <w:p w:rsidR="001B33A6" w:rsidRPr="00ED5BD3" w:rsidRDefault="001B33A6" w:rsidP="00ED5BD3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987DCF">
        <w:rPr>
          <w:rFonts w:ascii="Times New Roman" w:hAnsi="Times New Roman" w:cs="Times New Roman"/>
        </w:rPr>
        <w:t>(Повідомлення про інформацію)</w:t>
      </w:r>
      <w:r w:rsidRPr="00ED5BD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Ind w:w="107" w:type="dxa"/>
        <w:tblLook w:val="0000" w:firstRow="0" w:lastRow="0" w:firstColumn="0" w:lastColumn="0" w:noHBand="0" w:noVBand="0"/>
      </w:tblPr>
      <w:tblGrid>
        <w:gridCol w:w="2664"/>
        <w:gridCol w:w="233"/>
        <w:gridCol w:w="5129"/>
        <w:gridCol w:w="233"/>
        <w:gridCol w:w="1946"/>
      </w:tblGrid>
      <w:tr w:rsidR="00F039F4" w:rsidTr="004D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39F4" w:rsidRPr="00ED5BD3" w:rsidRDefault="00F039F4" w:rsidP="00ED5BD3">
            <w:pPr>
              <w:rPr>
                <w:sz w:val="24"/>
                <w:szCs w:val="24"/>
              </w:rPr>
            </w:pPr>
            <w:r w:rsidRPr="00ED5BD3">
              <w:rPr>
                <w:sz w:val="24"/>
                <w:szCs w:val="24"/>
              </w:rPr>
              <w:t>Повідомлення розміщено на  власному</w:t>
            </w:r>
            <w:r w:rsidRPr="00E7370A">
              <w:rPr>
                <w:sz w:val="24"/>
                <w:szCs w:val="24"/>
                <w:lang w:val="ru-RU"/>
              </w:rPr>
              <w:t xml:space="preserve"> </w:t>
            </w:r>
            <w:r w:rsidRPr="00ED5BD3">
              <w:rPr>
                <w:sz w:val="24"/>
                <w:szCs w:val="24"/>
              </w:rPr>
              <w:t>веб-сайті учасника фондового ринку</w:t>
            </w:r>
          </w:p>
        </w:tc>
        <w:tc>
          <w:tcPr>
            <w:tcW w:w="233" w:type="dxa"/>
            <w:vMerge w:val="restart"/>
            <w:tcBorders>
              <w:top w:val="nil"/>
              <w:left w:val="nil"/>
              <w:right w:val="nil"/>
            </w:tcBorders>
          </w:tcPr>
          <w:p w:rsidR="00F039F4" w:rsidRPr="00E7370A" w:rsidRDefault="00F039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9F4" w:rsidRPr="00642C42" w:rsidRDefault="00F039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http</w:t>
            </w:r>
            <w:r w:rsidRPr="00642C42">
              <w:rPr>
                <w:sz w:val="24"/>
                <w:szCs w:val="24"/>
                <w:lang w:val="ru-RU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642C4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en-US"/>
              </w:rPr>
              <w:t>rybgosp</w:t>
            </w:r>
            <w:r w:rsidRPr="00642C4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en-US"/>
              </w:rPr>
              <w:t>pat</w:t>
            </w:r>
            <w:r w:rsidRPr="00642C4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en-US"/>
              </w:rPr>
              <w:t>ua</w:t>
            </w:r>
            <w:r w:rsidRPr="00642C42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en-US"/>
              </w:rPr>
              <w:t>emitents</w:t>
            </w:r>
            <w:r w:rsidRPr="00642C42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en-US"/>
              </w:rPr>
              <w:t>reports</w:t>
            </w:r>
            <w:r w:rsidRPr="00642C42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en-US"/>
              </w:rPr>
              <w:t>special</w:t>
            </w:r>
          </w:p>
        </w:tc>
        <w:tc>
          <w:tcPr>
            <w:tcW w:w="2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39F4" w:rsidRDefault="00F039F4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9F4" w:rsidRDefault="00F039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26.04.2021</w:t>
            </w:r>
          </w:p>
        </w:tc>
      </w:tr>
      <w:tr w:rsidR="00F039F4" w:rsidTr="004D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039F4" w:rsidRDefault="00F039F4">
            <w:pPr>
              <w:rPr>
                <w:sz w:val="24"/>
                <w:szCs w:val="24"/>
              </w:rPr>
            </w:pPr>
          </w:p>
        </w:tc>
        <w:tc>
          <w:tcPr>
            <w:tcW w:w="233" w:type="dxa"/>
            <w:vMerge/>
            <w:tcBorders>
              <w:left w:val="nil"/>
              <w:bottom w:val="nil"/>
              <w:right w:val="nil"/>
            </w:tcBorders>
          </w:tcPr>
          <w:p w:rsidR="00F039F4" w:rsidRDefault="00F039F4" w:rsidP="00ED5B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9F4" w:rsidRDefault="00F039F4" w:rsidP="00ED5BD3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 w:rsidR="00E746E7">
              <w:rPr>
                <w:sz w:val="18"/>
                <w:szCs w:val="18"/>
                <w:lang w:val="en-US"/>
              </w:rPr>
              <w:t>URL-</w:t>
            </w:r>
            <w:r>
              <w:rPr>
                <w:sz w:val="18"/>
                <w:szCs w:val="18"/>
              </w:rPr>
              <w:t xml:space="preserve">адреса </w:t>
            </w:r>
            <w:r w:rsidR="00E746E7">
              <w:rPr>
                <w:sz w:val="18"/>
                <w:szCs w:val="18"/>
              </w:rPr>
              <w:t>веб-сайту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039F4" w:rsidRDefault="00F039F4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9F4" w:rsidRDefault="00F0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</w:tr>
    </w:tbl>
    <w:p w:rsidR="004D221D" w:rsidRPr="007C11AC" w:rsidRDefault="004D221D" w:rsidP="004D221D">
      <w:pPr>
        <w:pStyle w:val="3"/>
        <w:jc w:val="center"/>
        <w:rPr>
          <w:b w:val="0"/>
          <w:sz w:val="28"/>
          <w:szCs w:val="28"/>
        </w:rPr>
      </w:pPr>
      <w:r w:rsidRPr="007C11AC">
        <w:rPr>
          <w:sz w:val="28"/>
          <w:szCs w:val="28"/>
        </w:rPr>
        <w:lastRenderedPageBreak/>
        <w:t>Відомості про прийняття рішення про попереднє надання згоди на вчинення значних правочинів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2"/>
        <w:gridCol w:w="2368"/>
        <w:gridCol w:w="2278"/>
        <w:gridCol w:w="1928"/>
        <w:gridCol w:w="2423"/>
      </w:tblGrid>
      <w:tr w:rsidR="004D221D" w:rsidRPr="00FE26AE" w:rsidTr="005F665E">
        <w:tc>
          <w:tcPr>
            <w:tcW w:w="5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1D" w:rsidRPr="00FE26AE" w:rsidRDefault="004D221D" w:rsidP="005F665E">
            <w:pPr>
              <w:pStyle w:val="a4"/>
              <w:jc w:val="center"/>
            </w:pPr>
            <w:r w:rsidRPr="00FE26AE">
              <w:t xml:space="preserve">N </w:t>
            </w:r>
            <w:r w:rsidRPr="00FE26AE">
              <w:br/>
              <w:t>з/п 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1D" w:rsidRPr="00FE26AE" w:rsidRDefault="004D221D" w:rsidP="005F665E">
            <w:pPr>
              <w:pStyle w:val="a4"/>
              <w:jc w:val="center"/>
            </w:pPr>
            <w:r w:rsidRPr="00FE26AE">
              <w:t>Дата прийняття рішення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1D" w:rsidRPr="00FE26AE" w:rsidRDefault="004D221D" w:rsidP="005F665E">
            <w:pPr>
              <w:pStyle w:val="a4"/>
              <w:jc w:val="center"/>
            </w:pPr>
            <w:r w:rsidRPr="00FE26AE">
              <w:t>Гранична сукупн</w:t>
            </w:r>
            <w:r>
              <w:t>а</w:t>
            </w:r>
            <w:r w:rsidRPr="00FE26AE">
              <w:t xml:space="preserve"> варт</w:t>
            </w:r>
            <w:r>
              <w:t>ість</w:t>
            </w:r>
            <w:r w:rsidRPr="00FE26AE">
              <w:t xml:space="preserve"> правочинів</w:t>
            </w:r>
            <w:r w:rsidRPr="00FE26AE">
              <w:br/>
              <w:t>(тис. грн)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1D" w:rsidRPr="00FE26AE" w:rsidRDefault="004D221D" w:rsidP="005F665E">
            <w:pPr>
              <w:pStyle w:val="a4"/>
              <w:jc w:val="center"/>
            </w:pPr>
            <w:r w:rsidRPr="00FE26AE">
              <w:t>Вартість активів емітента за даними останньої річної фінансової звітності</w:t>
            </w:r>
            <w:r w:rsidRPr="00FE26AE">
              <w:br/>
              <w:t>(тис. грн)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221D" w:rsidRPr="00FE26AE" w:rsidRDefault="004D221D" w:rsidP="005F665E">
            <w:pPr>
              <w:pStyle w:val="a4"/>
              <w:jc w:val="center"/>
            </w:pPr>
            <w:r w:rsidRPr="00FE26AE">
              <w:t>Співвідношення граничної сукупно</w:t>
            </w:r>
            <w:r>
              <w:t>ї</w:t>
            </w:r>
            <w:r w:rsidRPr="00FE26AE">
              <w:t xml:space="preserve"> вартості правочинів до вартості активів емітента за даними останньої річної фінансової звітності</w:t>
            </w:r>
            <w:r w:rsidRPr="00FE26AE">
              <w:br/>
              <w:t>(у відсотках)</w:t>
            </w:r>
          </w:p>
        </w:tc>
      </w:tr>
      <w:tr w:rsidR="004D221D" w:rsidRPr="00FE26AE" w:rsidTr="005F665E">
        <w:tc>
          <w:tcPr>
            <w:tcW w:w="5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1D" w:rsidRPr="00FE26AE" w:rsidRDefault="004D221D" w:rsidP="005F665E">
            <w:pPr>
              <w:pStyle w:val="a4"/>
              <w:jc w:val="center"/>
              <w:rPr>
                <w:lang w:val="en-US"/>
              </w:rPr>
            </w:pPr>
            <w:r w:rsidRPr="00FE26AE">
              <w:rPr>
                <w:lang w:val="en-US"/>
              </w:rPr>
              <w:t>1 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1D" w:rsidRPr="00FE26AE" w:rsidRDefault="004D221D" w:rsidP="005F665E">
            <w:pPr>
              <w:pStyle w:val="a4"/>
              <w:jc w:val="center"/>
              <w:rPr>
                <w:lang w:val="en-US"/>
              </w:rPr>
            </w:pPr>
            <w:r w:rsidRPr="00FE26AE">
              <w:rPr>
                <w:lang w:val="en-US"/>
              </w:rPr>
              <w:t>2 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1D" w:rsidRPr="00FE26AE" w:rsidRDefault="004D221D" w:rsidP="005F665E">
            <w:pPr>
              <w:pStyle w:val="a4"/>
              <w:jc w:val="center"/>
              <w:rPr>
                <w:lang w:val="en-US"/>
              </w:rPr>
            </w:pPr>
            <w:r w:rsidRPr="00FE26AE">
              <w:rPr>
                <w:lang w:val="en-US"/>
              </w:rPr>
              <w:t>3 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1D" w:rsidRPr="00FE26AE" w:rsidRDefault="004D221D" w:rsidP="005F665E">
            <w:pPr>
              <w:pStyle w:val="a4"/>
              <w:jc w:val="center"/>
              <w:rPr>
                <w:lang w:val="en-US"/>
              </w:rPr>
            </w:pPr>
            <w:r w:rsidRPr="00FE26AE">
              <w:rPr>
                <w:lang w:val="en-US"/>
              </w:rPr>
              <w:t>4 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221D" w:rsidRPr="00FE26AE" w:rsidRDefault="004D221D" w:rsidP="005F665E">
            <w:pPr>
              <w:pStyle w:val="a4"/>
              <w:jc w:val="center"/>
              <w:rPr>
                <w:lang w:val="en-US"/>
              </w:rPr>
            </w:pPr>
            <w:r w:rsidRPr="00FE26AE">
              <w:rPr>
                <w:lang w:val="en-US"/>
              </w:rPr>
              <w:t>5 </w:t>
            </w:r>
          </w:p>
        </w:tc>
      </w:tr>
      <w:tr w:rsidR="004D221D" w:rsidRPr="00FE26AE" w:rsidTr="005F665E">
        <w:tc>
          <w:tcPr>
            <w:tcW w:w="58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1D" w:rsidRPr="00FE26AE" w:rsidRDefault="004D221D" w:rsidP="005F665E">
            <w:pPr>
              <w:pStyle w:val="a4"/>
              <w:jc w:val="center"/>
              <w:rPr>
                <w:lang w:val="en-US"/>
              </w:rPr>
            </w:pPr>
            <w:r w:rsidRPr="00FE26AE">
              <w:rPr>
                <w:lang w:val="en-US"/>
              </w:rPr>
              <w:t>1 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1D" w:rsidRPr="00FE26AE" w:rsidRDefault="004D221D" w:rsidP="005F665E">
            <w:pPr>
              <w:pStyle w:val="a4"/>
              <w:jc w:val="center"/>
              <w:rPr>
                <w:lang w:val="en-US"/>
              </w:rPr>
            </w:pPr>
            <w:r w:rsidRPr="00FE26AE">
              <w:rPr>
                <w:lang w:val="en-US"/>
              </w:rPr>
              <w:t>23.04.2021 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1D" w:rsidRPr="00FE26AE" w:rsidRDefault="004D221D" w:rsidP="005F665E">
            <w:pPr>
              <w:pStyle w:val="a4"/>
              <w:jc w:val="center"/>
              <w:rPr>
                <w:lang w:val="en-US"/>
              </w:rPr>
            </w:pPr>
            <w:r w:rsidRPr="00FE26AE">
              <w:rPr>
                <w:lang w:val="en-US"/>
              </w:rPr>
              <w:t>2000 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1D" w:rsidRPr="00FE26AE" w:rsidRDefault="004D221D" w:rsidP="005F665E">
            <w:pPr>
              <w:pStyle w:val="a4"/>
              <w:jc w:val="center"/>
              <w:rPr>
                <w:lang w:val="en-US"/>
              </w:rPr>
            </w:pPr>
            <w:r w:rsidRPr="00FE26AE">
              <w:rPr>
                <w:lang w:val="en-US"/>
              </w:rPr>
              <w:t>5563,7 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221D" w:rsidRPr="00FE26AE" w:rsidRDefault="004D221D" w:rsidP="005F665E">
            <w:pPr>
              <w:pStyle w:val="a4"/>
              <w:jc w:val="center"/>
              <w:rPr>
                <w:lang w:val="en-US"/>
              </w:rPr>
            </w:pPr>
            <w:r w:rsidRPr="00FE26AE">
              <w:rPr>
                <w:lang w:val="en-US"/>
              </w:rPr>
              <w:t>35,9473</w:t>
            </w:r>
          </w:p>
        </w:tc>
      </w:tr>
      <w:tr w:rsidR="004D221D" w:rsidRPr="0064204B" w:rsidTr="005F665E">
        <w:tc>
          <w:tcPr>
            <w:tcW w:w="5000" w:type="pct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221D" w:rsidRPr="0064204B" w:rsidRDefault="004D221D" w:rsidP="005F665E">
            <w:pPr>
              <w:pStyle w:val="a4"/>
              <w:rPr>
                <w:lang w:val="en-US"/>
              </w:rPr>
            </w:pPr>
            <w:proofErr w:type="spellStart"/>
            <w:r w:rsidRPr="0064204B">
              <w:rPr>
                <w:lang w:val="en-US"/>
              </w:rPr>
              <w:t>Зміст</w:t>
            </w:r>
            <w:proofErr w:type="spellEnd"/>
            <w:r w:rsidRPr="0064204B">
              <w:rPr>
                <w:lang w:val="en-US"/>
              </w:rPr>
              <w:t xml:space="preserve"> </w:t>
            </w:r>
            <w:proofErr w:type="spellStart"/>
            <w:r w:rsidRPr="0064204B">
              <w:rPr>
                <w:lang w:val="en-US"/>
              </w:rPr>
              <w:t>інформації</w:t>
            </w:r>
            <w:proofErr w:type="spellEnd"/>
            <w:r w:rsidRPr="0064204B">
              <w:rPr>
                <w:lang w:val="en-US"/>
              </w:rPr>
              <w:t>:</w:t>
            </w:r>
          </w:p>
        </w:tc>
      </w:tr>
      <w:tr w:rsidR="004D221D" w:rsidRPr="004D221D" w:rsidTr="005F665E">
        <w:tc>
          <w:tcPr>
            <w:tcW w:w="5000" w:type="pct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221D" w:rsidRPr="004D221D" w:rsidRDefault="004D221D" w:rsidP="005F665E">
            <w:pPr>
              <w:pStyle w:val="a4"/>
              <w:spacing w:before="0" w:after="0"/>
              <w:rPr>
                <w:lang w:val="ru-RU"/>
              </w:rPr>
            </w:pPr>
            <w:r w:rsidRPr="004D221D">
              <w:rPr>
                <w:lang w:val="ru-RU"/>
              </w:rPr>
              <w:t xml:space="preserve">На </w:t>
            </w:r>
            <w:proofErr w:type="spellStart"/>
            <w:r w:rsidRPr="004D221D">
              <w:rPr>
                <w:lang w:val="ru-RU"/>
              </w:rPr>
              <w:t>загальних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зборах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акціонерів</w:t>
            </w:r>
            <w:proofErr w:type="spellEnd"/>
            <w:r w:rsidRPr="004D221D">
              <w:rPr>
                <w:lang w:val="ru-RU"/>
              </w:rPr>
              <w:t xml:space="preserve"> 23.04.2021 року (протокол № 01-2021 </w:t>
            </w:r>
            <w:proofErr w:type="spellStart"/>
            <w:r w:rsidRPr="004D221D">
              <w:rPr>
                <w:lang w:val="ru-RU"/>
              </w:rPr>
              <w:t>від</w:t>
            </w:r>
            <w:proofErr w:type="spellEnd"/>
            <w:r w:rsidRPr="004D221D">
              <w:rPr>
                <w:lang w:val="ru-RU"/>
              </w:rPr>
              <w:t xml:space="preserve"> 23.04.2021 року) </w:t>
            </w:r>
            <w:proofErr w:type="spellStart"/>
            <w:r w:rsidRPr="004D221D">
              <w:rPr>
                <w:lang w:val="ru-RU"/>
              </w:rPr>
              <w:t>було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прийнято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рішення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надати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попередню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згоду</w:t>
            </w:r>
            <w:proofErr w:type="spellEnd"/>
            <w:r w:rsidRPr="004D221D">
              <w:rPr>
                <w:lang w:val="ru-RU"/>
              </w:rPr>
              <w:t xml:space="preserve"> на </w:t>
            </w:r>
            <w:proofErr w:type="spellStart"/>
            <w:r w:rsidRPr="004D221D">
              <w:rPr>
                <w:lang w:val="ru-RU"/>
              </w:rPr>
              <w:t>вчинення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значних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правочинів</w:t>
            </w:r>
            <w:proofErr w:type="spellEnd"/>
            <w:r w:rsidRPr="004D221D">
              <w:rPr>
                <w:lang w:val="ru-RU"/>
              </w:rPr>
              <w:t xml:space="preserve">, </w:t>
            </w:r>
            <w:proofErr w:type="spellStart"/>
            <w:r w:rsidRPr="004D221D">
              <w:rPr>
                <w:lang w:val="ru-RU"/>
              </w:rPr>
              <w:t>які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можуть</w:t>
            </w:r>
            <w:proofErr w:type="spellEnd"/>
            <w:r w:rsidRPr="004D221D">
              <w:rPr>
                <w:lang w:val="ru-RU"/>
              </w:rPr>
              <w:t xml:space="preserve"> бути </w:t>
            </w:r>
            <w:proofErr w:type="spellStart"/>
            <w:r w:rsidRPr="004D221D">
              <w:rPr>
                <w:lang w:val="ru-RU"/>
              </w:rPr>
              <w:t>вчинені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Приватним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акціонерним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товариством</w:t>
            </w:r>
            <w:proofErr w:type="spellEnd"/>
            <w:r w:rsidRPr="004D221D">
              <w:rPr>
                <w:lang w:val="ru-RU"/>
              </w:rPr>
              <w:t xml:space="preserve"> "</w:t>
            </w:r>
            <w:proofErr w:type="spellStart"/>
            <w:r w:rsidRPr="004D221D">
              <w:rPr>
                <w:lang w:val="ru-RU"/>
              </w:rPr>
              <w:t>Рівнерибгосп</w:t>
            </w:r>
            <w:proofErr w:type="spellEnd"/>
            <w:r w:rsidRPr="004D221D">
              <w:rPr>
                <w:lang w:val="ru-RU"/>
              </w:rPr>
              <w:t xml:space="preserve">" в </w:t>
            </w:r>
            <w:proofErr w:type="spellStart"/>
            <w:r w:rsidRPr="004D221D">
              <w:rPr>
                <w:lang w:val="ru-RU"/>
              </w:rPr>
              <w:t>особі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голови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правління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або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уповноважених</w:t>
            </w:r>
            <w:proofErr w:type="spellEnd"/>
            <w:r w:rsidRPr="004D221D">
              <w:rPr>
                <w:lang w:val="ru-RU"/>
              </w:rPr>
              <w:t xml:space="preserve"> ним </w:t>
            </w:r>
            <w:proofErr w:type="spellStart"/>
            <w:r w:rsidRPr="004D221D">
              <w:rPr>
                <w:lang w:val="ru-RU"/>
              </w:rPr>
              <w:t>осіб</w:t>
            </w:r>
            <w:proofErr w:type="spellEnd"/>
            <w:r w:rsidRPr="004D221D">
              <w:rPr>
                <w:lang w:val="ru-RU"/>
              </w:rPr>
              <w:t xml:space="preserve"> за </w:t>
            </w:r>
            <w:proofErr w:type="spellStart"/>
            <w:r w:rsidRPr="004D221D">
              <w:rPr>
                <w:lang w:val="ru-RU"/>
              </w:rPr>
              <w:t>умови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отримання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згоди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наглядової</w:t>
            </w:r>
            <w:proofErr w:type="spellEnd"/>
            <w:r w:rsidRPr="004D221D">
              <w:rPr>
                <w:lang w:val="ru-RU"/>
              </w:rPr>
              <w:t xml:space="preserve"> ради </w:t>
            </w:r>
            <w:proofErr w:type="spellStart"/>
            <w:r w:rsidRPr="004D221D">
              <w:rPr>
                <w:lang w:val="ru-RU"/>
              </w:rPr>
              <w:t>товариства</w:t>
            </w:r>
            <w:proofErr w:type="spellEnd"/>
            <w:r w:rsidRPr="004D221D">
              <w:rPr>
                <w:lang w:val="ru-RU"/>
              </w:rPr>
              <w:t xml:space="preserve"> на </w:t>
            </w:r>
            <w:proofErr w:type="spellStart"/>
            <w:r w:rsidRPr="004D221D">
              <w:rPr>
                <w:lang w:val="ru-RU"/>
              </w:rPr>
              <w:t>вчинення</w:t>
            </w:r>
            <w:proofErr w:type="spellEnd"/>
            <w:r w:rsidRPr="004D221D">
              <w:rPr>
                <w:lang w:val="ru-RU"/>
              </w:rPr>
              <w:t xml:space="preserve"> таких </w:t>
            </w:r>
            <w:proofErr w:type="spellStart"/>
            <w:r w:rsidRPr="004D221D">
              <w:rPr>
                <w:lang w:val="ru-RU"/>
              </w:rPr>
              <w:t>правочинів</w:t>
            </w:r>
            <w:proofErr w:type="spellEnd"/>
            <w:r w:rsidRPr="004D221D">
              <w:rPr>
                <w:lang w:val="ru-RU"/>
              </w:rPr>
              <w:t xml:space="preserve"> у </w:t>
            </w:r>
            <w:proofErr w:type="spellStart"/>
            <w:r w:rsidRPr="004D221D">
              <w:rPr>
                <w:lang w:val="ru-RU"/>
              </w:rPr>
              <w:t>передбачених</w:t>
            </w:r>
            <w:proofErr w:type="spellEnd"/>
            <w:r w:rsidRPr="004D221D">
              <w:rPr>
                <w:lang w:val="ru-RU"/>
              </w:rPr>
              <w:t xml:space="preserve"> статутом </w:t>
            </w:r>
            <w:proofErr w:type="spellStart"/>
            <w:r w:rsidRPr="004D221D">
              <w:rPr>
                <w:lang w:val="ru-RU"/>
              </w:rPr>
              <w:t>товариства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випадках</w:t>
            </w:r>
            <w:proofErr w:type="spellEnd"/>
            <w:r w:rsidRPr="004D221D">
              <w:rPr>
                <w:lang w:val="ru-RU"/>
              </w:rPr>
              <w:t xml:space="preserve"> і з </w:t>
            </w:r>
            <w:proofErr w:type="spellStart"/>
            <w:r w:rsidRPr="004D221D">
              <w:rPr>
                <w:lang w:val="ru-RU"/>
              </w:rPr>
              <w:t>дотриманням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наступної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граничної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вартості</w:t>
            </w:r>
            <w:proofErr w:type="spellEnd"/>
            <w:r w:rsidRPr="004D221D">
              <w:rPr>
                <w:lang w:val="ru-RU"/>
              </w:rPr>
              <w:t>:</w:t>
            </w:r>
          </w:p>
          <w:p w:rsidR="004D221D" w:rsidRPr="004D221D" w:rsidRDefault="004D221D" w:rsidP="005F665E">
            <w:pPr>
              <w:pStyle w:val="a4"/>
              <w:spacing w:before="0" w:after="0"/>
              <w:rPr>
                <w:lang w:val="ru-RU"/>
              </w:rPr>
            </w:pPr>
            <w:r w:rsidRPr="004D221D">
              <w:rPr>
                <w:lang w:val="ru-RU"/>
              </w:rPr>
              <w:t>1)</w:t>
            </w:r>
            <w:r w:rsidRPr="004D221D">
              <w:rPr>
                <w:lang w:val="ru-RU"/>
              </w:rPr>
              <w:tab/>
              <w:t xml:space="preserve">договори про продаж </w:t>
            </w:r>
            <w:proofErr w:type="spellStart"/>
            <w:r w:rsidRPr="004D221D">
              <w:rPr>
                <w:lang w:val="ru-RU"/>
              </w:rPr>
              <w:t>основних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засобів</w:t>
            </w:r>
            <w:proofErr w:type="spellEnd"/>
            <w:r w:rsidRPr="004D221D">
              <w:rPr>
                <w:lang w:val="ru-RU"/>
              </w:rPr>
              <w:t xml:space="preserve"> за </w:t>
            </w:r>
            <w:proofErr w:type="spellStart"/>
            <w:r w:rsidRPr="004D221D">
              <w:rPr>
                <w:lang w:val="ru-RU"/>
              </w:rPr>
              <w:t>ціною</w:t>
            </w:r>
            <w:proofErr w:type="spellEnd"/>
            <w:r w:rsidRPr="004D221D">
              <w:rPr>
                <w:lang w:val="ru-RU"/>
              </w:rPr>
              <w:t xml:space="preserve">, </w:t>
            </w:r>
            <w:proofErr w:type="spellStart"/>
            <w:r w:rsidRPr="004D221D">
              <w:rPr>
                <w:lang w:val="ru-RU"/>
              </w:rPr>
              <w:t>нижчою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від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балансової</w:t>
            </w:r>
            <w:proofErr w:type="spellEnd"/>
            <w:r w:rsidRPr="004D221D">
              <w:rPr>
                <w:lang w:val="ru-RU"/>
              </w:rPr>
              <w:t xml:space="preserve">, та </w:t>
            </w:r>
            <w:proofErr w:type="spellStart"/>
            <w:r w:rsidRPr="004D221D">
              <w:rPr>
                <w:lang w:val="ru-RU"/>
              </w:rPr>
              <w:t>товарів</w:t>
            </w:r>
            <w:proofErr w:type="spellEnd"/>
            <w:r w:rsidRPr="004D221D">
              <w:rPr>
                <w:lang w:val="ru-RU"/>
              </w:rPr>
              <w:t xml:space="preserve">, </w:t>
            </w:r>
            <w:proofErr w:type="spellStart"/>
            <w:r w:rsidRPr="004D221D">
              <w:rPr>
                <w:lang w:val="ru-RU"/>
              </w:rPr>
              <w:t>робіт</w:t>
            </w:r>
            <w:proofErr w:type="spellEnd"/>
            <w:r w:rsidRPr="004D221D">
              <w:rPr>
                <w:lang w:val="ru-RU"/>
              </w:rPr>
              <w:t xml:space="preserve">, </w:t>
            </w:r>
            <w:proofErr w:type="spellStart"/>
            <w:r w:rsidRPr="004D221D">
              <w:rPr>
                <w:lang w:val="ru-RU"/>
              </w:rPr>
              <w:t>послуг</w:t>
            </w:r>
            <w:proofErr w:type="spellEnd"/>
            <w:r w:rsidRPr="004D221D">
              <w:rPr>
                <w:lang w:val="ru-RU"/>
              </w:rPr>
              <w:t xml:space="preserve"> за </w:t>
            </w:r>
            <w:proofErr w:type="spellStart"/>
            <w:r w:rsidRPr="004D221D">
              <w:rPr>
                <w:lang w:val="ru-RU"/>
              </w:rPr>
              <w:t>ціною</w:t>
            </w:r>
            <w:proofErr w:type="spellEnd"/>
            <w:r w:rsidRPr="004D221D">
              <w:rPr>
                <w:lang w:val="ru-RU"/>
              </w:rPr>
              <w:t xml:space="preserve">, </w:t>
            </w:r>
            <w:proofErr w:type="spellStart"/>
            <w:r w:rsidRPr="004D221D">
              <w:rPr>
                <w:lang w:val="ru-RU"/>
              </w:rPr>
              <w:t>нижчою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від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собівартості</w:t>
            </w:r>
            <w:proofErr w:type="spellEnd"/>
            <w:r w:rsidRPr="004D221D">
              <w:rPr>
                <w:lang w:val="ru-RU"/>
              </w:rPr>
              <w:t xml:space="preserve"> (</w:t>
            </w:r>
            <w:proofErr w:type="spellStart"/>
            <w:r w:rsidRPr="004D221D">
              <w:rPr>
                <w:lang w:val="ru-RU"/>
              </w:rPr>
              <w:t>закупівельної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ціни</w:t>
            </w:r>
            <w:proofErr w:type="spellEnd"/>
            <w:r w:rsidRPr="004D221D">
              <w:rPr>
                <w:lang w:val="ru-RU"/>
              </w:rPr>
              <w:t xml:space="preserve">) – на суму, </w:t>
            </w:r>
            <w:proofErr w:type="spellStart"/>
            <w:r w:rsidRPr="004D221D">
              <w:rPr>
                <w:lang w:val="ru-RU"/>
              </w:rPr>
              <w:t>що</w:t>
            </w:r>
            <w:proofErr w:type="spellEnd"/>
            <w:r w:rsidRPr="004D221D">
              <w:rPr>
                <w:lang w:val="ru-RU"/>
              </w:rPr>
              <w:t xml:space="preserve"> не </w:t>
            </w:r>
            <w:proofErr w:type="spellStart"/>
            <w:r w:rsidRPr="004D221D">
              <w:rPr>
                <w:lang w:val="ru-RU"/>
              </w:rPr>
              <w:t>перевищує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еквівалент</w:t>
            </w:r>
            <w:proofErr w:type="spellEnd"/>
            <w:r w:rsidRPr="004D221D">
              <w:rPr>
                <w:lang w:val="ru-RU"/>
              </w:rPr>
              <w:t xml:space="preserve"> 500.000,00 </w:t>
            </w:r>
            <w:r w:rsidRPr="0064204B">
              <w:rPr>
                <w:lang w:val="en-US"/>
              </w:rPr>
              <w:t>EUR</w:t>
            </w:r>
            <w:r w:rsidRPr="004D221D">
              <w:rPr>
                <w:lang w:val="ru-RU"/>
              </w:rPr>
              <w:t xml:space="preserve"> (п’ятисот </w:t>
            </w:r>
            <w:proofErr w:type="spellStart"/>
            <w:r w:rsidRPr="004D221D">
              <w:rPr>
                <w:lang w:val="ru-RU"/>
              </w:rPr>
              <w:t>тисяч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євро</w:t>
            </w:r>
            <w:proofErr w:type="spellEnd"/>
            <w:r w:rsidRPr="004D221D">
              <w:rPr>
                <w:lang w:val="ru-RU"/>
              </w:rPr>
              <w:t xml:space="preserve">) за курсом </w:t>
            </w:r>
            <w:proofErr w:type="spellStart"/>
            <w:r w:rsidRPr="004D221D">
              <w:rPr>
                <w:lang w:val="ru-RU"/>
              </w:rPr>
              <w:t>Національного</w:t>
            </w:r>
            <w:proofErr w:type="spellEnd"/>
            <w:r w:rsidRPr="004D221D">
              <w:rPr>
                <w:lang w:val="ru-RU"/>
              </w:rPr>
              <w:t xml:space="preserve"> банку </w:t>
            </w:r>
            <w:proofErr w:type="spellStart"/>
            <w:r w:rsidRPr="004D221D">
              <w:rPr>
                <w:lang w:val="ru-RU"/>
              </w:rPr>
              <w:t>України</w:t>
            </w:r>
            <w:proofErr w:type="spellEnd"/>
            <w:r w:rsidRPr="004D221D">
              <w:rPr>
                <w:lang w:val="ru-RU"/>
              </w:rPr>
              <w:t xml:space="preserve">, </w:t>
            </w:r>
            <w:proofErr w:type="spellStart"/>
            <w:r w:rsidRPr="004D221D">
              <w:rPr>
                <w:lang w:val="ru-RU"/>
              </w:rPr>
              <w:t>що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діє</w:t>
            </w:r>
            <w:proofErr w:type="spellEnd"/>
            <w:r w:rsidRPr="004D221D">
              <w:rPr>
                <w:lang w:val="ru-RU"/>
              </w:rPr>
              <w:t xml:space="preserve"> на момент </w:t>
            </w:r>
            <w:proofErr w:type="spellStart"/>
            <w:r w:rsidRPr="004D221D">
              <w:rPr>
                <w:lang w:val="ru-RU"/>
              </w:rPr>
              <w:t>укладення</w:t>
            </w:r>
            <w:proofErr w:type="spellEnd"/>
            <w:r w:rsidRPr="004D221D">
              <w:rPr>
                <w:lang w:val="ru-RU"/>
              </w:rPr>
              <w:t xml:space="preserve"> договору;</w:t>
            </w:r>
          </w:p>
          <w:p w:rsidR="004D221D" w:rsidRPr="004D221D" w:rsidRDefault="004D221D" w:rsidP="005F665E">
            <w:pPr>
              <w:pStyle w:val="a4"/>
              <w:spacing w:before="0" w:after="0"/>
              <w:rPr>
                <w:lang w:val="ru-RU"/>
              </w:rPr>
            </w:pPr>
            <w:r w:rsidRPr="004D221D">
              <w:rPr>
                <w:lang w:val="ru-RU"/>
              </w:rPr>
              <w:t>2)</w:t>
            </w:r>
            <w:r w:rsidRPr="004D221D">
              <w:rPr>
                <w:lang w:val="ru-RU"/>
              </w:rPr>
              <w:tab/>
              <w:t xml:space="preserve">договори про </w:t>
            </w:r>
            <w:proofErr w:type="spellStart"/>
            <w:r w:rsidRPr="004D221D">
              <w:rPr>
                <w:lang w:val="ru-RU"/>
              </w:rPr>
              <w:t>безоплатне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відчуження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основних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засобів</w:t>
            </w:r>
            <w:proofErr w:type="spellEnd"/>
            <w:r w:rsidRPr="004D221D">
              <w:rPr>
                <w:lang w:val="ru-RU"/>
              </w:rPr>
              <w:t xml:space="preserve">, </w:t>
            </w:r>
            <w:proofErr w:type="spellStart"/>
            <w:r w:rsidRPr="004D221D">
              <w:rPr>
                <w:lang w:val="ru-RU"/>
              </w:rPr>
              <w:t>товарів</w:t>
            </w:r>
            <w:proofErr w:type="spellEnd"/>
            <w:r w:rsidRPr="004D221D">
              <w:rPr>
                <w:lang w:val="ru-RU"/>
              </w:rPr>
              <w:t xml:space="preserve">, </w:t>
            </w:r>
            <w:proofErr w:type="spellStart"/>
            <w:r w:rsidRPr="004D221D">
              <w:rPr>
                <w:lang w:val="ru-RU"/>
              </w:rPr>
              <w:t>виконання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робіт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чи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надання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послуг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товариством</w:t>
            </w:r>
            <w:proofErr w:type="spellEnd"/>
            <w:r w:rsidRPr="004D221D">
              <w:rPr>
                <w:lang w:val="ru-RU"/>
              </w:rPr>
              <w:t xml:space="preserve"> без оплати (в тому </w:t>
            </w:r>
            <w:proofErr w:type="spellStart"/>
            <w:r w:rsidRPr="004D221D">
              <w:rPr>
                <w:lang w:val="ru-RU"/>
              </w:rPr>
              <w:t>числі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дарування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сувенірів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діловим</w:t>
            </w:r>
            <w:proofErr w:type="spellEnd"/>
            <w:r w:rsidRPr="004D221D">
              <w:rPr>
                <w:lang w:val="ru-RU"/>
              </w:rPr>
              <w:t xml:space="preserve"> партнерам, </w:t>
            </w:r>
            <w:proofErr w:type="spellStart"/>
            <w:r w:rsidRPr="004D221D">
              <w:rPr>
                <w:lang w:val="ru-RU"/>
              </w:rPr>
              <w:t>прийом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делегацій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інвесторів</w:t>
            </w:r>
            <w:proofErr w:type="spellEnd"/>
            <w:r w:rsidRPr="004D221D">
              <w:rPr>
                <w:lang w:val="ru-RU"/>
              </w:rPr>
              <w:t xml:space="preserve">) – на суму, </w:t>
            </w:r>
            <w:proofErr w:type="spellStart"/>
            <w:r w:rsidRPr="004D221D">
              <w:rPr>
                <w:lang w:val="ru-RU"/>
              </w:rPr>
              <w:t>що</w:t>
            </w:r>
            <w:proofErr w:type="spellEnd"/>
            <w:r w:rsidRPr="004D221D">
              <w:rPr>
                <w:lang w:val="ru-RU"/>
              </w:rPr>
              <w:t xml:space="preserve"> не </w:t>
            </w:r>
            <w:proofErr w:type="spellStart"/>
            <w:r w:rsidRPr="004D221D">
              <w:rPr>
                <w:lang w:val="ru-RU"/>
              </w:rPr>
              <w:t>перевищує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еквівалент</w:t>
            </w:r>
            <w:proofErr w:type="spellEnd"/>
            <w:r w:rsidRPr="004D221D">
              <w:rPr>
                <w:lang w:val="ru-RU"/>
              </w:rPr>
              <w:t xml:space="preserve"> 1.000,00 </w:t>
            </w:r>
            <w:r w:rsidRPr="0064204B">
              <w:rPr>
                <w:lang w:val="en-US"/>
              </w:rPr>
              <w:t>EUR</w:t>
            </w:r>
            <w:r w:rsidRPr="004D221D">
              <w:rPr>
                <w:lang w:val="ru-RU"/>
              </w:rPr>
              <w:t xml:space="preserve"> (однієї </w:t>
            </w:r>
            <w:proofErr w:type="spellStart"/>
            <w:r w:rsidRPr="004D221D">
              <w:rPr>
                <w:lang w:val="ru-RU"/>
              </w:rPr>
              <w:t>тисячі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євро</w:t>
            </w:r>
            <w:proofErr w:type="spellEnd"/>
            <w:r w:rsidRPr="004D221D">
              <w:rPr>
                <w:lang w:val="ru-RU"/>
              </w:rPr>
              <w:t xml:space="preserve">) за курсом </w:t>
            </w:r>
            <w:proofErr w:type="spellStart"/>
            <w:r w:rsidRPr="004D221D">
              <w:rPr>
                <w:lang w:val="ru-RU"/>
              </w:rPr>
              <w:t>Національного</w:t>
            </w:r>
            <w:proofErr w:type="spellEnd"/>
            <w:r w:rsidRPr="004D221D">
              <w:rPr>
                <w:lang w:val="ru-RU"/>
              </w:rPr>
              <w:t xml:space="preserve"> банку </w:t>
            </w:r>
            <w:proofErr w:type="spellStart"/>
            <w:r w:rsidRPr="004D221D">
              <w:rPr>
                <w:lang w:val="ru-RU"/>
              </w:rPr>
              <w:t>України</w:t>
            </w:r>
            <w:proofErr w:type="spellEnd"/>
            <w:r w:rsidRPr="004D221D">
              <w:rPr>
                <w:lang w:val="ru-RU"/>
              </w:rPr>
              <w:t xml:space="preserve">, </w:t>
            </w:r>
            <w:proofErr w:type="spellStart"/>
            <w:r w:rsidRPr="004D221D">
              <w:rPr>
                <w:lang w:val="ru-RU"/>
              </w:rPr>
              <w:t>що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діє</w:t>
            </w:r>
            <w:proofErr w:type="spellEnd"/>
            <w:r w:rsidRPr="004D221D">
              <w:rPr>
                <w:lang w:val="ru-RU"/>
              </w:rPr>
              <w:t xml:space="preserve"> на момент </w:t>
            </w:r>
            <w:proofErr w:type="spellStart"/>
            <w:r w:rsidRPr="004D221D">
              <w:rPr>
                <w:lang w:val="ru-RU"/>
              </w:rPr>
              <w:t>укладення</w:t>
            </w:r>
            <w:proofErr w:type="spellEnd"/>
            <w:r w:rsidRPr="004D221D">
              <w:rPr>
                <w:lang w:val="ru-RU"/>
              </w:rPr>
              <w:t xml:space="preserve"> договору;</w:t>
            </w:r>
          </w:p>
          <w:p w:rsidR="004D221D" w:rsidRPr="004D221D" w:rsidRDefault="004D221D" w:rsidP="005F665E">
            <w:pPr>
              <w:pStyle w:val="a4"/>
              <w:spacing w:before="0" w:after="0"/>
              <w:rPr>
                <w:lang w:val="ru-RU"/>
              </w:rPr>
            </w:pPr>
            <w:r w:rsidRPr="004D221D">
              <w:rPr>
                <w:lang w:val="ru-RU"/>
              </w:rPr>
              <w:t>3)</w:t>
            </w:r>
            <w:r w:rsidRPr="004D221D">
              <w:rPr>
                <w:lang w:val="ru-RU"/>
              </w:rPr>
              <w:tab/>
              <w:t xml:space="preserve">договори про продаж </w:t>
            </w:r>
            <w:proofErr w:type="spellStart"/>
            <w:r w:rsidRPr="004D221D">
              <w:rPr>
                <w:lang w:val="ru-RU"/>
              </w:rPr>
              <w:t>основних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засобів</w:t>
            </w:r>
            <w:proofErr w:type="spellEnd"/>
            <w:r w:rsidRPr="004D221D">
              <w:rPr>
                <w:lang w:val="ru-RU"/>
              </w:rPr>
              <w:t xml:space="preserve">, </w:t>
            </w:r>
            <w:proofErr w:type="spellStart"/>
            <w:r w:rsidRPr="004D221D">
              <w:rPr>
                <w:lang w:val="ru-RU"/>
              </w:rPr>
              <w:t>товарів</w:t>
            </w:r>
            <w:proofErr w:type="spellEnd"/>
            <w:r w:rsidRPr="004D221D">
              <w:rPr>
                <w:lang w:val="ru-RU"/>
              </w:rPr>
              <w:t xml:space="preserve">, </w:t>
            </w:r>
            <w:proofErr w:type="spellStart"/>
            <w:r w:rsidRPr="004D221D">
              <w:rPr>
                <w:lang w:val="ru-RU"/>
              </w:rPr>
              <w:t>виконання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робіт</w:t>
            </w:r>
            <w:proofErr w:type="spellEnd"/>
            <w:r w:rsidRPr="004D221D">
              <w:rPr>
                <w:lang w:val="ru-RU"/>
              </w:rPr>
              <w:t xml:space="preserve"> та </w:t>
            </w:r>
            <w:proofErr w:type="spellStart"/>
            <w:r w:rsidRPr="004D221D">
              <w:rPr>
                <w:lang w:val="ru-RU"/>
              </w:rPr>
              <w:t>надання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послуг</w:t>
            </w:r>
            <w:proofErr w:type="spellEnd"/>
            <w:r w:rsidRPr="004D221D">
              <w:rPr>
                <w:lang w:val="ru-RU"/>
              </w:rPr>
              <w:t xml:space="preserve"> за </w:t>
            </w:r>
            <w:proofErr w:type="spellStart"/>
            <w:r w:rsidRPr="004D221D">
              <w:rPr>
                <w:lang w:val="ru-RU"/>
              </w:rPr>
              <w:t>ціною</w:t>
            </w:r>
            <w:proofErr w:type="spellEnd"/>
            <w:r w:rsidRPr="004D221D">
              <w:rPr>
                <w:lang w:val="ru-RU"/>
              </w:rPr>
              <w:t xml:space="preserve">, </w:t>
            </w:r>
            <w:proofErr w:type="spellStart"/>
            <w:r w:rsidRPr="004D221D">
              <w:rPr>
                <w:lang w:val="ru-RU"/>
              </w:rPr>
              <w:t>що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перевищує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балансову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вартість</w:t>
            </w:r>
            <w:proofErr w:type="spellEnd"/>
            <w:r w:rsidRPr="004D221D">
              <w:rPr>
                <w:lang w:val="ru-RU"/>
              </w:rPr>
              <w:t xml:space="preserve">, </w:t>
            </w:r>
            <w:proofErr w:type="spellStart"/>
            <w:r w:rsidRPr="004D221D">
              <w:rPr>
                <w:lang w:val="ru-RU"/>
              </w:rPr>
              <w:t>собівартість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чи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закупівельну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ціну</w:t>
            </w:r>
            <w:proofErr w:type="spellEnd"/>
            <w:r w:rsidRPr="004D221D">
              <w:rPr>
                <w:lang w:val="ru-RU"/>
              </w:rPr>
              <w:t xml:space="preserve"> – без </w:t>
            </w:r>
            <w:proofErr w:type="spellStart"/>
            <w:r w:rsidRPr="004D221D">
              <w:rPr>
                <w:lang w:val="ru-RU"/>
              </w:rPr>
              <w:t>обмеження</w:t>
            </w:r>
            <w:proofErr w:type="spellEnd"/>
            <w:r w:rsidRPr="004D221D">
              <w:rPr>
                <w:lang w:val="ru-RU"/>
              </w:rPr>
              <w:t xml:space="preserve"> сумою;</w:t>
            </w:r>
          </w:p>
          <w:p w:rsidR="004D221D" w:rsidRPr="004D221D" w:rsidRDefault="004D221D" w:rsidP="005F665E">
            <w:pPr>
              <w:pStyle w:val="a4"/>
              <w:spacing w:before="0" w:after="0"/>
              <w:rPr>
                <w:lang w:val="ru-RU"/>
              </w:rPr>
            </w:pPr>
            <w:r w:rsidRPr="004D221D">
              <w:rPr>
                <w:lang w:val="ru-RU"/>
              </w:rPr>
              <w:t>4)</w:t>
            </w:r>
            <w:r w:rsidRPr="004D221D">
              <w:rPr>
                <w:lang w:val="ru-RU"/>
              </w:rPr>
              <w:tab/>
            </w:r>
            <w:proofErr w:type="spellStart"/>
            <w:r w:rsidRPr="004D221D">
              <w:rPr>
                <w:lang w:val="ru-RU"/>
              </w:rPr>
              <w:t>кредитні</w:t>
            </w:r>
            <w:proofErr w:type="spellEnd"/>
            <w:r w:rsidRPr="004D221D">
              <w:rPr>
                <w:lang w:val="ru-RU"/>
              </w:rPr>
              <w:t xml:space="preserve"> договори – за </w:t>
            </w:r>
            <w:proofErr w:type="spellStart"/>
            <w:r w:rsidRPr="004D221D">
              <w:rPr>
                <w:lang w:val="ru-RU"/>
              </w:rPr>
              <w:t>ставкою</w:t>
            </w:r>
            <w:proofErr w:type="spellEnd"/>
            <w:r w:rsidRPr="004D221D">
              <w:rPr>
                <w:lang w:val="ru-RU"/>
              </w:rPr>
              <w:t xml:space="preserve">, </w:t>
            </w:r>
            <w:proofErr w:type="spellStart"/>
            <w:r w:rsidRPr="004D221D">
              <w:rPr>
                <w:lang w:val="ru-RU"/>
              </w:rPr>
              <w:t>що</w:t>
            </w:r>
            <w:proofErr w:type="spellEnd"/>
            <w:r w:rsidRPr="004D221D">
              <w:rPr>
                <w:lang w:val="ru-RU"/>
              </w:rPr>
              <w:t xml:space="preserve"> не </w:t>
            </w:r>
            <w:proofErr w:type="spellStart"/>
            <w:r w:rsidRPr="004D221D">
              <w:rPr>
                <w:lang w:val="ru-RU"/>
              </w:rPr>
              <w:t>перевищує</w:t>
            </w:r>
            <w:proofErr w:type="spellEnd"/>
            <w:r w:rsidRPr="004D221D">
              <w:rPr>
                <w:lang w:val="ru-RU"/>
              </w:rPr>
              <w:t xml:space="preserve"> ставку </w:t>
            </w:r>
            <w:proofErr w:type="spellStart"/>
            <w:r w:rsidRPr="004D221D">
              <w:rPr>
                <w:lang w:val="ru-RU"/>
              </w:rPr>
              <w:t>Національного</w:t>
            </w:r>
            <w:proofErr w:type="spellEnd"/>
            <w:r w:rsidRPr="004D221D">
              <w:rPr>
                <w:lang w:val="ru-RU"/>
              </w:rPr>
              <w:t xml:space="preserve"> банку </w:t>
            </w:r>
            <w:proofErr w:type="spellStart"/>
            <w:r w:rsidRPr="004D221D">
              <w:rPr>
                <w:lang w:val="ru-RU"/>
              </w:rPr>
              <w:t>України</w:t>
            </w:r>
            <w:proofErr w:type="spellEnd"/>
            <w:r w:rsidRPr="004D221D">
              <w:rPr>
                <w:lang w:val="ru-RU"/>
              </w:rPr>
              <w:t xml:space="preserve"> на момент </w:t>
            </w:r>
            <w:proofErr w:type="spellStart"/>
            <w:r w:rsidRPr="004D221D">
              <w:rPr>
                <w:lang w:val="ru-RU"/>
              </w:rPr>
              <w:t>укладення</w:t>
            </w:r>
            <w:proofErr w:type="spellEnd"/>
            <w:r w:rsidRPr="004D221D">
              <w:rPr>
                <w:lang w:val="ru-RU"/>
              </w:rPr>
              <w:t xml:space="preserve"> договору </w:t>
            </w:r>
            <w:proofErr w:type="spellStart"/>
            <w:r w:rsidRPr="004D221D">
              <w:rPr>
                <w:lang w:val="ru-RU"/>
              </w:rPr>
              <w:t>більше</w:t>
            </w:r>
            <w:proofErr w:type="spellEnd"/>
            <w:r w:rsidRPr="004D221D">
              <w:rPr>
                <w:lang w:val="ru-RU"/>
              </w:rPr>
              <w:t xml:space="preserve">, </w:t>
            </w:r>
            <w:proofErr w:type="spellStart"/>
            <w:r w:rsidRPr="004D221D">
              <w:rPr>
                <w:lang w:val="ru-RU"/>
              </w:rPr>
              <w:t>ніж</w:t>
            </w:r>
            <w:proofErr w:type="spellEnd"/>
            <w:r w:rsidRPr="004D221D">
              <w:rPr>
                <w:lang w:val="ru-RU"/>
              </w:rPr>
              <w:t xml:space="preserve"> у 10 </w:t>
            </w:r>
            <w:proofErr w:type="spellStart"/>
            <w:r w:rsidRPr="004D221D">
              <w:rPr>
                <w:lang w:val="ru-RU"/>
              </w:rPr>
              <w:t>разів</w:t>
            </w:r>
            <w:proofErr w:type="spellEnd"/>
            <w:r w:rsidRPr="004D221D">
              <w:rPr>
                <w:lang w:val="ru-RU"/>
              </w:rPr>
              <w:t xml:space="preserve">, без </w:t>
            </w:r>
            <w:proofErr w:type="spellStart"/>
            <w:r w:rsidRPr="004D221D">
              <w:rPr>
                <w:lang w:val="ru-RU"/>
              </w:rPr>
              <w:t>обмеження</w:t>
            </w:r>
            <w:proofErr w:type="spellEnd"/>
            <w:r w:rsidRPr="004D221D">
              <w:rPr>
                <w:lang w:val="ru-RU"/>
              </w:rPr>
              <w:t xml:space="preserve"> сумою;</w:t>
            </w:r>
          </w:p>
          <w:p w:rsidR="004D221D" w:rsidRPr="004D221D" w:rsidRDefault="004D221D" w:rsidP="005F665E">
            <w:pPr>
              <w:pStyle w:val="a4"/>
              <w:spacing w:before="0" w:after="0"/>
              <w:rPr>
                <w:lang w:val="ru-RU"/>
              </w:rPr>
            </w:pPr>
            <w:r w:rsidRPr="004D221D">
              <w:rPr>
                <w:lang w:val="ru-RU"/>
              </w:rPr>
              <w:t>5)</w:t>
            </w:r>
            <w:r w:rsidRPr="004D221D">
              <w:rPr>
                <w:lang w:val="ru-RU"/>
              </w:rPr>
              <w:tab/>
              <w:t xml:space="preserve">договори про </w:t>
            </w:r>
            <w:proofErr w:type="spellStart"/>
            <w:r w:rsidRPr="004D221D">
              <w:rPr>
                <w:lang w:val="ru-RU"/>
              </w:rPr>
              <w:t>придбання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обладнання</w:t>
            </w:r>
            <w:proofErr w:type="spellEnd"/>
            <w:r w:rsidRPr="004D221D">
              <w:rPr>
                <w:lang w:val="ru-RU"/>
              </w:rPr>
              <w:t xml:space="preserve">, транспорту, </w:t>
            </w:r>
            <w:proofErr w:type="spellStart"/>
            <w:r w:rsidRPr="004D221D">
              <w:rPr>
                <w:lang w:val="ru-RU"/>
              </w:rPr>
              <w:t>інших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основних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засобів</w:t>
            </w:r>
            <w:proofErr w:type="spellEnd"/>
            <w:r w:rsidRPr="004D221D">
              <w:rPr>
                <w:lang w:val="ru-RU"/>
              </w:rPr>
              <w:t xml:space="preserve">, </w:t>
            </w:r>
            <w:proofErr w:type="spellStart"/>
            <w:r w:rsidRPr="004D221D">
              <w:rPr>
                <w:lang w:val="ru-RU"/>
              </w:rPr>
              <w:t>проектних</w:t>
            </w:r>
            <w:proofErr w:type="spellEnd"/>
            <w:r w:rsidRPr="004D221D">
              <w:rPr>
                <w:lang w:val="ru-RU"/>
              </w:rPr>
              <w:t xml:space="preserve">, </w:t>
            </w:r>
            <w:proofErr w:type="spellStart"/>
            <w:r w:rsidRPr="004D221D">
              <w:rPr>
                <w:lang w:val="ru-RU"/>
              </w:rPr>
              <w:t>будівельних</w:t>
            </w:r>
            <w:proofErr w:type="spellEnd"/>
            <w:r w:rsidRPr="004D221D">
              <w:rPr>
                <w:lang w:val="ru-RU"/>
              </w:rPr>
              <w:t xml:space="preserve">, </w:t>
            </w:r>
            <w:proofErr w:type="spellStart"/>
            <w:r w:rsidRPr="004D221D">
              <w:rPr>
                <w:lang w:val="ru-RU"/>
              </w:rPr>
              <w:t>монтажних</w:t>
            </w:r>
            <w:proofErr w:type="spellEnd"/>
            <w:r w:rsidRPr="004D221D">
              <w:rPr>
                <w:lang w:val="ru-RU"/>
              </w:rPr>
              <w:t xml:space="preserve"> та </w:t>
            </w:r>
            <w:proofErr w:type="spellStart"/>
            <w:r w:rsidRPr="004D221D">
              <w:rPr>
                <w:lang w:val="ru-RU"/>
              </w:rPr>
              <w:t>інших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робіт</w:t>
            </w:r>
            <w:proofErr w:type="spellEnd"/>
            <w:r w:rsidRPr="004D221D">
              <w:rPr>
                <w:lang w:val="ru-RU"/>
              </w:rPr>
              <w:t xml:space="preserve">, </w:t>
            </w:r>
            <w:proofErr w:type="spellStart"/>
            <w:r w:rsidRPr="004D221D">
              <w:rPr>
                <w:lang w:val="ru-RU"/>
              </w:rPr>
              <w:t>послуг</w:t>
            </w:r>
            <w:proofErr w:type="spellEnd"/>
            <w:r w:rsidRPr="004D221D">
              <w:rPr>
                <w:lang w:val="ru-RU"/>
              </w:rPr>
              <w:t xml:space="preserve">, </w:t>
            </w:r>
            <w:proofErr w:type="spellStart"/>
            <w:r w:rsidRPr="004D221D">
              <w:rPr>
                <w:lang w:val="ru-RU"/>
              </w:rPr>
              <w:t>інші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gramStart"/>
            <w:r w:rsidRPr="004D221D">
              <w:rPr>
                <w:lang w:val="ru-RU"/>
              </w:rPr>
              <w:t xml:space="preserve">договори,  </w:t>
            </w:r>
            <w:proofErr w:type="spellStart"/>
            <w:r w:rsidRPr="004D221D">
              <w:rPr>
                <w:lang w:val="ru-RU"/>
              </w:rPr>
              <w:t>спрямовані</w:t>
            </w:r>
            <w:proofErr w:type="spellEnd"/>
            <w:proofErr w:type="gramEnd"/>
            <w:r w:rsidRPr="004D221D">
              <w:rPr>
                <w:lang w:val="ru-RU"/>
              </w:rPr>
              <w:t xml:space="preserve"> на </w:t>
            </w:r>
            <w:proofErr w:type="spellStart"/>
            <w:r w:rsidRPr="004D221D">
              <w:rPr>
                <w:lang w:val="ru-RU"/>
              </w:rPr>
              <w:t>налагодження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чи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розширення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виробництва</w:t>
            </w:r>
            <w:proofErr w:type="spellEnd"/>
            <w:r w:rsidRPr="004D221D">
              <w:rPr>
                <w:lang w:val="ru-RU"/>
              </w:rPr>
              <w:t xml:space="preserve"> – без </w:t>
            </w:r>
            <w:proofErr w:type="spellStart"/>
            <w:r w:rsidRPr="004D221D">
              <w:rPr>
                <w:lang w:val="ru-RU"/>
              </w:rPr>
              <w:t>обмеження</w:t>
            </w:r>
            <w:proofErr w:type="spellEnd"/>
            <w:r w:rsidRPr="004D221D">
              <w:rPr>
                <w:lang w:val="ru-RU"/>
              </w:rPr>
              <w:t xml:space="preserve"> сумою;</w:t>
            </w:r>
          </w:p>
          <w:p w:rsidR="004D221D" w:rsidRPr="004D221D" w:rsidRDefault="004D221D" w:rsidP="005F665E">
            <w:pPr>
              <w:pStyle w:val="a4"/>
              <w:spacing w:before="0" w:after="0"/>
              <w:rPr>
                <w:lang w:val="ru-RU"/>
              </w:rPr>
            </w:pPr>
            <w:r w:rsidRPr="004D221D">
              <w:rPr>
                <w:lang w:val="ru-RU"/>
              </w:rPr>
              <w:t>6)</w:t>
            </w:r>
            <w:r w:rsidRPr="004D221D">
              <w:rPr>
                <w:lang w:val="ru-RU"/>
              </w:rPr>
              <w:tab/>
              <w:t xml:space="preserve">договори </w:t>
            </w:r>
            <w:proofErr w:type="spellStart"/>
            <w:r w:rsidRPr="004D221D">
              <w:rPr>
                <w:lang w:val="ru-RU"/>
              </w:rPr>
              <w:t>застави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основних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засобів</w:t>
            </w:r>
            <w:proofErr w:type="spellEnd"/>
            <w:r w:rsidRPr="004D221D">
              <w:rPr>
                <w:lang w:val="ru-RU"/>
              </w:rPr>
              <w:t xml:space="preserve"> – без </w:t>
            </w:r>
            <w:proofErr w:type="spellStart"/>
            <w:r w:rsidRPr="004D221D">
              <w:rPr>
                <w:lang w:val="ru-RU"/>
              </w:rPr>
              <w:t>обмеження</w:t>
            </w:r>
            <w:proofErr w:type="spellEnd"/>
            <w:r w:rsidRPr="004D221D">
              <w:rPr>
                <w:lang w:val="ru-RU"/>
              </w:rPr>
              <w:t xml:space="preserve"> сумою;</w:t>
            </w:r>
          </w:p>
          <w:p w:rsidR="004D221D" w:rsidRPr="004D221D" w:rsidRDefault="004D221D" w:rsidP="005F665E">
            <w:pPr>
              <w:pStyle w:val="a4"/>
              <w:spacing w:before="0" w:after="0"/>
              <w:rPr>
                <w:lang w:val="ru-RU"/>
              </w:rPr>
            </w:pPr>
            <w:r w:rsidRPr="004D221D">
              <w:rPr>
                <w:lang w:val="ru-RU"/>
              </w:rPr>
              <w:t>7)</w:t>
            </w:r>
            <w:r w:rsidRPr="004D221D">
              <w:rPr>
                <w:lang w:val="ru-RU"/>
              </w:rPr>
              <w:tab/>
            </w:r>
            <w:proofErr w:type="spellStart"/>
            <w:r w:rsidRPr="004D221D">
              <w:rPr>
                <w:lang w:val="ru-RU"/>
              </w:rPr>
              <w:t>інвестиційні</w:t>
            </w:r>
            <w:proofErr w:type="spellEnd"/>
            <w:r w:rsidRPr="004D221D">
              <w:rPr>
                <w:lang w:val="ru-RU"/>
              </w:rPr>
              <w:t xml:space="preserve"> договори, договори, предметом </w:t>
            </w:r>
            <w:proofErr w:type="spellStart"/>
            <w:r w:rsidRPr="004D221D">
              <w:rPr>
                <w:lang w:val="ru-RU"/>
              </w:rPr>
              <w:t>яких</w:t>
            </w:r>
            <w:proofErr w:type="spellEnd"/>
            <w:r w:rsidRPr="004D221D">
              <w:rPr>
                <w:lang w:val="ru-RU"/>
              </w:rPr>
              <w:t xml:space="preserve"> є </w:t>
            </w:r>
            <w:proofErr w:type="spellStart"/>
            <w:r w:rsidRPr="004D221D">
              <w:rPr>
                <w:lang w:val="ru-RU"/>
              </w:rPr>
              <w:t>цінні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папери</w:t>
            </w:r>
            <w:proofErr w:type="spellEnd"/>
            <w:r w:rsidRPr="004D221D">
              <w:rPr>
                <w:lang w:val="ru-RU"/>
              </w:rPr>
              <w:t xml:space="preserve"> – без </w:t>
            </w:r>
            <w:proofErr w:type="spellStart"/>
            <w:r w:rsidRPr="004D221D">
              <w:rPr>
                <w:lang w:val="ru-RU"/>
              </w:rPr>
              <w:t>обмеження</w:t>
            </w:r>
            <w:proofErr w:type="spellEnd"/>
            <w:r w:rsidRPr="004D221D">
              <w:rPr>
                <w:lang w:val="ru-RU"/>
              </w:rPr>
              <w:t xml:space="preserve"> сумою;</w:t>
            </w:r>
          </w:p>
          <w:p w:rsidR="004D221D" w:rsidRPr="004D221D" w:rsidRDefault="004D221D" w:rsidP="005F665E">
            <w:pPr>
              <w:pStyle w:val="a4"/>
              <w:spacing w:before="0" w:after="0"/>
              <w:rPr>
                <w:lang w:val="ru-RU"/>
              </w:rPr>
            </w:pPr>
            <w:r w:rsidRPr="004D221D">
              <w:rPr>
                <w:lang w:val="ru-RU"/>
              </w:rPr>
              <w:t>8)</w:t>
            </w:r>
            <w:r w:rsidRPr="004D221D">
              <w:rPr>
                <w:lang w:val="ru-RU"/>
              </w:rPr>
              <w:tab/>
            </w:r>
            <w:proofErr w:type="spellStart"/>
            <w:r w:rsidRPr="004D221D">
              <w:rPr>
                <w:lang w:val="ru-RU"/>
              </w:rPr>
              <w:t>здійснення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банківських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переказів</w:t>
            </w:r>
            <w:proofErr w:type="spellEnd"/>
            <w:r w:rsidRPr="004D221D">
              <w:rPr>
                <w:lang w:val="ru-RU"/>
              </w:rPr>
              <w:t xml:space="preserve"> та </w:t>
            </w:r>
            <w:proofErr w:type="spellStart"/>
            <w:r w:rsidRPr="004D221D">
              <w:rPr>
                <w:lang w:val="ru-RU"/>
              </w:rPr>
              <w:t>інших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фінансових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операцій</w:t>
            </w:r>
            <w:proofErr w:type="spellEnd"/>
            <w:r w:rsidRPr="004D221D">
              <w:rPr>
                <w:lang w:val="ru-RU"/>
              </w:rPr>
              <w:t xml:space="preserve"> на </w:t>
            </w:r>
            <w:proofErr w:type="spellStart"/>
            <w:r w:rsidRPr="004D221D">
              <w:rPr>
                <w:lang w:val="ru-RU"/>
              </w:rPr>
              <w:t>підставі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договорів</w:t>
            </w:r>
            <w:proofErr w:type="spellEnd"/>
            <w:r w:rsidRPr="004D221D">
              <w:rPr>
                <w:lang w:val="ru-RU"/>
              </w:rPr>
              <w:t xml:space="preserve">, </w:t>
            </w:r>
            <w:proofErr w:type="spellStart"/>
            <w:r w:rsidRPr="004D221D">
              <w:rPr>
                <w:lang w:val="ru-RU"/>
              </w:rPr>
              <w:t>схвалених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цим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рішенням</w:t>
            </w:r>
            <w:proofErr w:type="spellEnd"/>
            <w:r w:rsidRPr="004D221D">
              <w:rPr>
                <w:lang w:val="ru-RU"/>
              </w:rPr>
              <w:t xml:space="preserve"> – без </w:t>
            </w:r>
            <w:proofErr w:type="spellStart"/>
            <w:r w:rsidRPr="004D221D">
              <w:rPr>
                <w:lang w:val="ru-RU"/>
              </w:rPr>
              <w:t>обмеження</w:t>
            </w:r>
            <w:proofErr w:type="spellEnd"/>
            <w:r w:rsidRPr="004D221D">
              <w:rPr>
                <w:lang w:val="ru-RU"/>
              </w:rPr>
              <w:t xml:space="preserve"> сумою;</w:t>
            </w:r>
          </w:p>
          <w:p w:rsidR="004D221D" w:rsidRPr="004D221D" w:rsidRDefault="004D221D" w:rsidP="005F665E">
            <w:pPr>
              <w:pStyle w:val="a4"/>
              <w:spacing w:before="0" w:after="0"/>
              <w:rPr>
                <w:lang w:val="ru-RU"/>
              </w:rPr>
            </w:pPr>
            <w:r w:rsidRPr="004D221D">
              <w:rPr>
                <w:lang w:val="ru-RU"/>
              </w:rPr>
              <w:t>9)</w:t>
            </w:r>
            <w:r w:rsidRPr="004D221D">
              <w:rPr>
                <w:lang w:val="ru-RU"/>
              </w:rPr>
              <w:tab/>
            </w:r>
            <w:proofErr w:type="spellStart"/>
            <w:r w:rsidRPr="004D221D">
              <w:rPr>
                <w:lang w:val="ru-RU"/>
              </w:rPr>
              <w:t>здійснення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банківських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переказів</w:t>
            </w:r>
            <w:proofErr w:type="spellEnd"/>
            <w:r w:rsidRPr="004D221D">
              <w:rPr>
                <w:lang w:val="ru-RU"/>
              </w:rPr>
              <w:t xml:space="preserve"> в </w:t>
            </w:r>
            <w:proofErr w:type="spellStart"/>
            <w:r w:rsidRPr="004D221D">
              <w:rPr>
                <w:lang w:val="ru-RU"/>
              </w:rPr>
              <w:t>інших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випадках</w:t>
            </w:r>
            <w:proofErr w:type="spellEnd"/>
            <w:r w:rsidRPr="004D221D">
              <w:rPr>
                <w:lang w:val="ru-RU"/>
              </w:rPr>
              <w:t xml:space="preserve"> – на суму, </w:t>
            </w:r>
            <w:proofErr w:type="spellStart"/>
            <w:r w:rsidRPr="004D221D">
              <w:rPr>
                <w:lang w:val="ru-RU"/>
              </w:rPr>
              <w:t>що</w:t>
            </w:r>
            <w:proofErr w:type="spellEnd"/>
            <w:r w:rsidRPr="004D221D">
              <w:rPr>
                <w:lang w:val="ru-RU"/>
              </w:rPr>
              <w:t xml:space="preserve"> не </w:t>
            </w:r>
            <w:proofErr w:type="spellStart"/>
            <w:r w:rsidRPr="004D221D">
              <w:rPr>
                <w:lang w:val="ru-RU"/>
              </w:rPr>
              <w:t>перевищує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еквівалент</w:t>
            </w:r>
            <w:proofErr w:type="spellEnd"/>
            <w:r w:rsidRPr="004D221D">
              <w:rPr>
                <w:lang w:val="ru-RU"/>
              </w:rPr>
              <w:t xml:space="preserve"> 100.000,00 </w:t>
            </w:r>
            <w:r w:rsidRPr="0064204B">
              <w:rPr>
                <w:lang w:val="en-US"/>
              </w:rPr>
              <w:t>EUR</w:t>
            </w:r>
            <w:r w:rsidRPr="004D221D">
              <w:rPr>
                <w:lang w:val="ru-RU"/>
              </w:rPr>
              <w:t xml:space="preserve"> (ста </w:t>
            </w:r>
            <w:proofErr w:type="spellStart"/>
            <w:r w:rsidRPr="004D221D">
              <w:rPr>
                <w:lang w:val="ru-RU"/>
              </w:rPr>
              <w:t>тисяч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євро</w:t>
            </w:r>
            <w:proofErr w:type="spellEnd"/>
            <w:r w:rsidRPr="004D221D">
              <w:rPr>
                <w:lang w:val="ru-RU"/>
              </w:rPr>
              <w:t xml:space="preserve">) за курсом </w:t>
            </w:r>
            <w:proofErr w:type="spellStart"/>
            <w:r w:rsidRPr="004D221D">
              <w:rPr>
                <w:lang w:val="ru-RU"/>
              </w:rPr>
              <w:t>Національного</w:t>
            </w:r>
            <w:proofErr w:type="spellEnd"/>
            <w:r w:rsidRPr="004D221D">
              <w:rPr>
                <w:lang w:val="ru-RU"/>
              </w:rPr>
              <w:t xml:space="preserve"> банку </w:t>
            </w:r>
            <w:proofErr w:type="spellStart"/>
            <w:r w:rsidRPr="004D221D">
              <w:rPr>
                <w:lang w:val="ru-RU"/>
              </w:rPr>
              <w:t>України</w:t>
            </w:r>
            <w:proofErr w:type="spellEnd"/>
            <w:r w:rsidRPr="004D221D">
              <w:rPr>
                <w:lang w:val="ru-RU"/>
              </w:rPr>
              <w:t xml:space="preserve">, </w:t>
            </w:r>
            <w:proofErr w:type="spellStart"/>
            <w:r w:rsidRPr="004D221D">
              <w:rPr>
                <w:lang w:val="ru-RU"/>
              </w:rPr>
              <w:t>що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діє</w:t>
            </w:r>
            <w:proofErr w:type="spellEnd"/>
            <w:r w:rsidRPr="004D221D">
              <w:rPr>
                <w:lang w:val="ru-RU"/>
              </w:rPr>
              <w:t xml:space="preserve"> на момент </w:t>
            </w:r>
            <w:proofErr w:type="spellStart"/>
            <w:r w:rsidRPr="004D221D">
              <w:rPr>
                <w:lang w:val="ru-RU"/>
              </w:rPr>
              <w:t>здійснення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переказу</w:t>
            </w:r>
            <w:proofErr w:type="spellEnd"/>
            <w:r w:rsidRPr="004D221D">
              <w:rPr>
                <w:lang w:val="ru-RU"/>
              </w:rPr>
              <w:t>.</w:t>
            </w:r>
          </w:p>
          <w:p w:rsidR="004D221D" w:rsidRPr="004D221D" w:rsidRDefault="004D221D" w:rsidP="005F665E">
            <w:pPr>
              <w:pStyle w:val="a4"/>
              <w:spacing w:before="0" w:after="0"/>
              <w:rPr>
                <w:lang w:val="ru-RU"/>
              </w:rPr>
            </w:pPr>
            <w:proofErr w:type="spellStart"/>
            <w:r w:rsidRPr="004D221D">
              <w:rPr>
                <w:lang w:val="ru-RU"/>
              </w:rPr>
              <w:t>Гранична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сукупна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вартість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правочинів</w:t>
            </w:r>
            <w:proofErr w:type="spellEnd"/>
            <w:r w:rsidRPr="004D221D">
              <w:rPr>
                <w:lang w:val="ru-RU"/>
              </w:rPr>
              <w:t xml:space="preserve">: 2000 тис. </w:t>
            </w:r>
            <w:proofErr w:type="spellStart"/>
            <w:r w:rsidRPr="004D221D">
              <w:rPr>
                <w:lang w:val="ru-RU"/>
              </w:rPr>
              <w:t>грн</w:t>
            </w:r>
            <w:proofErr w:type="spellEnd"/>
            <w:r w:rsidRPr="004D221D">
              <w:rPr>
                <w:lang w:val="ru-RU"/>
              </w:rPr>
              <w:t>;</w:t>
            </w:r>
          </w:p>
          <w:p w:rsidR="004D221D" w:rsidRPr="004D221D" w:rsidRDefault="004D221D" w:rsidP="005F665E">
            <w:pPr>
              <w:pStyle w:val="a4"/>
              <w:spacing w:before="0" w:after="0"/>
              <w:rPr>
                <w:lang w:val="ru-RU"/>
              </w:rPr>
            </w:pPr>
            <w:proofErr w:type="spellStart"/>
            <w:r w:rsidRPr="004D221D">
              <w:rPr>
                <w:lang w:val="ru-RU"/>
              </w:rPr>
              <w:t>Вартість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активів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емітента</w:t>
            </w:r>
            <w:proofErr w:type="spellEnd"/>
            <w:r w:rsidRPr="004D221D">
              <w:rPr>
                <w:lang w:val="ru-RU"/>
              </w:rPr>
              <w:t xml:space="preserve"> за </w:t>
            </w:r>
            <w:proofErr w:type="spellStart"/>
            <w:r w:rsidRPr="004D221D">
              <w:rPr>
                <w:lang w:val="ru-RU"/>
              </w:rPr>
              <w:t>даними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останньої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річної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фінансової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звітності</w:t>
            </w:r>
            <w:proofErr w:type="spellEnd"/>
            <w:r w:rsidRPr="004D221D">
              <w:rPr>
                <w:lang w:val="ru-RU"/>
              </w:rPr>
              <w:t xml:space="preserve">: 5563,7 тис. </w:t>
            </w:r>
            <w:proofErr w:type="spellStart"/>
            <w:r w:rsidRPr="004D221D">
              <w:rPr>
                <w:lang w:val="ru-RU"/>
              </w:rPr>
              <w:t>грн</w:t>
            </w:r>
            <w:proofErr w:type="spellEnd"/>
            <w:r w:rsidRPr="004D221D">
              <w:rPr>
                <w:lang w:val="ru-RU"/>
              </w:rPr>
              <w:t>;</w:t>
            </w:r>
          </w:p>
          <w:p w:rsidR="004D221D" w:rsidRPr="004D221D" w:rsidRDefault="004D221D" w:rsidP="005F665E">
            <w:pPr>
              <w:pStyle w:val="a4"/>
              <w:spacing w:before="0" w:after="0"/>
              <w:rPr>
                <w:lang w:val="ru-RU"/>
              </w:rPr>
            </w:pPr>
            <w:proofErr w:type="spellStart"/>
            <w:r w:rsidRPr="004D221D">
              <w:rPr>
                <w:lang w:val="ru-RU"/>
              </w:rPr>
              <w:t>Співвідношення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граничної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сукупної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вартості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правочинів</w:t>
            </w:r>
            <w:proofErr w:type="spellEnd"/>
            <w:r w:rsidRPr="004D221D">
              <w:rPr>
                <w:lang w:val="ru-RU"/>
              </w:rPr>
              <w:t xml:space="preserve"> до </w:t>
            </w:r>
            <w:proofErr w:type="spellStart"/>
            <w:r w:rsidRPr="004D221D">
              <w:rPr>
                <w:lang w:val="ru-RU"/>
              </w:rPr>
              <w:t>вартості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активів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емітента</w:t>
            </w:r>
            <w:proofErr w:type="spellEnd"/>
            <w:r w:rsidRPr="004D221D">
              <w:rPr>
                <w:lang w:val="ru-RU"/>
              </w:rPr>
              <w:t xml:space="preserve"> за </w:t>
            </w:r>
            <w:proofErr w:type="spellStart"/>
            <w:r w:rsidRPr="004D221D">
              <w:rPr>
                <w:lang w:val="ru-RU"/>
              </w:rPr>
              <w:t>даними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останньої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річної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фінансової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звітності</w:t>
            </w:r>
            <w:proofErr w:type="spellEnd"/>
            <w:r w:rsidRPr="004D221D">
              <w:rPr>
                <w:lang w:val="ru-RU"/>
              </w:rPr>
              <w:t xml:space="preserve"> (у </w:t>
            </w:r>
            <w:proofErr w:type="spellStart"/>
            <w:r w:rsidRPr="004D221D">
              <w:rPr>
                <w:lang w:val="ru-RU"/>
              </w:rPr>
              <w:t>відсотках</w:t>
            </w:r>
            <w:proofErr w:type="spellEnd"/>
            <w:r w:rsidRPr="004D221D">
              <w:rPr>
                <w:lang w:val="ru-RU"/>
              </w:rPr>
              <w:t>): 35,9473%.</w:t>
            </w:r>
          </w:p>
          <w:p w:rsidR="004D221D" w:rsidRPr="004D221D" w:rsidRDefault="004D221D" w:rsidP="005F665E">
            <w:pPr>
              <w:pStyle w:val="a4"/>
              <w:spacing w:before="0" w:after="0"/>
              <w:rPr>
                <w:lang w:val="ru-RU"/>
              </w:rPr>
            </w:pPr>
            <w:proofErr w:type="spellStart"/>
            <w:r w:rsidRPr="004D221D">
              <w:rPr>
                <w:lang w:val="ru-RU"/>
              </w:rPr>
              <w:t>Загальна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кількість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голосуючих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акцій</w:t>
            </w:r>
            <w:proofErr w:type="spellEnd"/>
            <w:r w:rsidRPr="004D221D">
              <w:rPr>
                <w:lang w:val="ru-RU"/>
              </w:rPr>
              <w:t>: 2 356 070;</w:t>
            </w:r>
          </w:p>
          <w:p w:rsidR="004D221D" w:rsidRPr="004D221D" w:rsidRDefault="004D221D" w:rsidP="005F665E">
            <w:pPr>
              <w:pStyle w:val="a4"/>
              <w:spacing w:before="0" w:after="0"/>
              <w:rPr>
                <w:lang w:val="ru-RU"/>
              </w:rPr>
            </w:pPr>
            <w:proofErr w:type="spellStart"/>
            <w:r w:rsidRPr="004D221D">
              <w:rPr>
                <w:lang w:val="ru-RU"/>
              </w:rPr>
              <w:t>Кількість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голосуючих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акцій</w:t>
            </w:r>
            <w:proofErr w:type="spellEnd"/>
            <w:r w:rsidRPr="004D221D">
              <w:rPr>
                <w:lang w:val="ru-RU"/>
              </w:rPr>
              <w:t xml:space="preserve">, </w:t>
            </w:r>
            <w:proofErr w:type="spellStart"/>
            <w:r w:rsidRPr="004D221D">
              <w:rPr>
                <w:lang w:val="ru-RU"/>
              </w:rPr>
              <w:t>що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зареєстровані</w:t>
            </w:r>
            <w:proofErr w:type="spellEnd"/>
            <w:r w:rsidRPr="004D221D">
              <w:rPr>
                <w:lang w:val="ru-RU"/>
              </w:rPr>
              <w:t xml:space="preserve"> для </w:t>
            </w:r>
            <w:proofErr w:type="spellStart"/>
            <w:r w:rsidRPr="004D221D">
              <w:rPr>
                <w:lang w:val="ru-RU"/>
              </w:rPr>
              <w:t>участі</w:t>
            </w:r>
            <w:proofErr w:type="spellEnd"/>
            <w:r w:rsidRPr="004D221D">
              <w:rPr>
                <w:lang w:val="ru-RU"/>
              </w:rPr>
              <w:t xml:space="preserve"> у </w:t>
            </w:r>
            <w:proofErr w:type="spellStart"/>
            <w:r w:rsidRPr="004D221D">
              <w:rPr>
                <w:lang w:val="ru-RU"/>
              </w:rPr>
              <w:t>загальних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зборах</w:t>
            </w:r>
            <w:proofErr w:type="spellEnd"/>
            <w:r w:rsidRPr="004D221D">
              <w:rPr>
                <w:lang w:val="ru-RU"/>
              </w:rPr>
              <w:t>: 2 004 977;</w:t>
            </w:r>
          </w:p>
          <w:p w:rsidR="004D221D" w:rsidRPr="004D221D" w:rsidRDefault="004D221D" w:rsidP="005F665E">
            <w:pPr>
              <w:pStyle w:val="a4"/>
              <w:spacing w:before="0" w:after="0"/>
              <w:rPr>
                <w:lang w:val="ru-RU"/>
              </w:rPr>
            </w:pPr>
            <w:proofErr w:type="spellStart"/>
            <w:r w:rsidRPr="004D221D">
              <w:rPr>
                <w:lang w:val="ru-RU"/>
              </w:rPr>
              <w:t>Кількість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голосуючих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акцій</w:t>
            </w:r>
            <w:proofErr w:type="spellEnd"/>
            <w:r w:rsidRPr="004D221D">
              <w:rPr>
                <w:lang w:val="ru-RU"/>
              </w:rPr>
              <w:t xml:space="preserve">, </w:t>
            </w:r>
            <w:proofErr w:type="spellStart"/>
            <w:r w:rsidRPr="004D221D">
              <w:rPr>
                <w:lang w:val="ru-RU"/>
              </w:rPr>
              <w:t>що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проголосували</w:t>
            </w:r>
            <w:proofErr w:type="spellEnd"/>
            <w:r w:rsidRPr="004D221D">
              <w:rPr>
                <w:lang w:val="ru-RU"/>
              </w:rPr>
              <w:t xml:space="preserve"> "за" </w:t>
            </w:r>
            <w:proofErr w:type="spellStart"/>
            <w:r w:rsidRPr="004D221D">
              <w:rPr>
                <w:lang w:val="ru-RU"/>
              </w:rPr>
              <w:t>прийняття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рішення</w:t>
            </w:r>
            <w:proofErr w:type="spellEnd"/>
            <w:r w:rsidRPr="004D221D">
              <w:rPr>
                <w:lang w:val="ru-RU"/>
              </w:rPr>
              <w:t xml:space="preserve">: 2 004 </w:t>
            </w:r>
            <w:proofErr w:type="gramStart"/>
            <w:r w:rsidRPr="004D221D">
              <w:rPr>
                <w:lang w:val="ru-RU"/>
              </w:rPr>
              <w:t>977 ;</w:t>
            </w:r>
            <w:proofErr w:type="gramEnd"/>
          </w:p>
          <w:p w:rsidR="004D221D" w:rsidRPr="004D221D" w:rsidRDefault="004D221D" w:rsidP="005F665E">
            <w:pPr>
              <w:pStyle w:val="a4"/>
              <w:spacing w:before="0" w:after="0"/>
              <w:rPr>
                <w:lang w:val="ru-RU"/>
              </w:rPr>
            </w:pPr>
            <w:proofErr w:type="spellStart"/>
            <w:r w:rsidRPr="004D221D">
              <w:rPr>
                <w:lang w:val="ru-RU"/>
              </w:rPr>
              <w:t>Кількість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голосуючих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акцій</w:t>
            </w:r>
            <w:proofErr w:type="spellEnd"/>
            <w:r w:rsidRPr="004D221D">
              <w:rPr>
                <w:lang w:val="ru-RU"/>
              </w:rPr>
              <w:t xml:space="preserve">, </w:t>
            </w:r>
            <w:proofErr w:type="spellStart"/>
            <w:r w:rsidRPr="004D221D">
              <w:rPr>
                <w:lang w:val="ru-RU"/>
              </w:rPr>
              <w:t>що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проголосували</w:t>
            </w:r>
            <w:proofErr w:type="spellEnd"/>
            <w:r w:rsidRPr="004D221D">
              <w:rPr>
                <w:lang w:val="ru-RU"/>
              </w:rPr>
              <w:t xml:space="preserve"> "проти" </w:t>
            </w:r>
            <w:proofErr w:type="spellStart"/>
            <w:r w:rsidRPr="004D221D">
              <w:rPr>
                <w:lang w:val="ru-RU"/>
              </w:rPr>
              <w:t>прийняття</w:t>
            </w:r>
            <w:proofErr w:type="spellEnd"/>
            <w:r w:rsidRPr="004D221D">
              <w:rPr>
                <w:lang w:val="ru-RU"/>
              </w:rPr>
              <w:t xml:space="preserve"> </w:t>
            </w:r>
            <w:proofErr w:type="spellStart"/>
            <w:r w:rsidRPr="004D221D">
              <w:rPr>
                <w:lang w:val="ru-RU"/>
              </w:rPr>
              <w:t>рішення</w:t>
            </w:r>
            <w:proofErr w:type="spellEnd"/>
            <w:r w:rsidRPr="004D221D">
              <w:rPr>
                <w:lang w:val="ru-RU"/>
              </w:rPr>
              <w:t>: 0.</w:t>
            </w:r>
          </w:p>
        </w:tc>
      </w:tr>
    </w:tbl>
    <w:p w:rsidR="001B33A6" w:rsidRPr="004D221D" w:rsidRDefault="001B33A6" w:rsidP="00EC36C6">
      <w:pPr>
        <w:rPr>
          <w:lang w:val="ru-RU"/>
        </w:rPr>
      </w:pPr>
      <w:bookmarkStart w:id="0" w:name="_GoBack"/>
      <w:bookmarkEnd w:id="0"/>
    </w:p>
    <w:sectPr w:rsidR="001B33A6" w:rsidRPr="004D221D" w:rsidSect="00B3323A">
      <w:footerReference w:type="default" r:id="rId6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6C4" w:rsidRDefault="001D56C4">
      <w:r>
        <w:separator/>
      </w:r>
    </w:p>
  </w:endnote>
  <w:endnote w:type="continuationSeparator" w:id="0">
    <w:p w:rsidR="001D56C4" w:rsidRDefault="001D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A6" w:rsidRDefault="001B33A6">
    <w:pPr>
      <w:pStyle w:val="a7"/>
      <w:rPr>
        <w:lang w:val="en-US"/>
      </w:rPr>
    </w:pPr>
  </w:p>
  <w:p w:rsidR="001B33A6" w:rsidRDefault="001B33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6C4" w:rsidRDefault="001D56C4">
      <w:r>
        <w:separator/>
      </w:r>
    </w:p>
  </w:footnote>
  <w:footnote w:type="continuationSeparator" w:id="0">
    <w:p w:rsidR="001D56C4" w:rsidRDefault="001D5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F5"/>
    <w:rsid w:val="000304CB"/>
    <w:rsid w:val="000712B5"/>
    <w:rsid w:val="00094CF5"/>
    <w:rsid w:val="00095537"/>
    <w:rsid w:val="000B4697"/>
    <w:rsid w:val="00107F3B"/>
    <w:rsid w:val="0015698C"/>
    <w:rsid w:val="001B33A6"/>
    <w:rsid w:val="001D56C4"/>
    <w:rsid w:val="004C3CCA"/>
    <w:rsid w:val="004D221D"/>
    <w:rsid w:val="00642C42"/>
    <w:rsid w:val="0072549A"/>
    <w:rsid w:val="007A4F01"/>
    <w:rsid w:val="008A1A85"/>
    <w:rsid w:val="008A1D83"/>
    <w:rsid w:val="008C5848"/>
    <w:rsid w:val="00987DCF"/>
    <w:rsid w:val="009F480F"/>
    <w:rsid w:val="00A668CC"/>
    <w:rsid w:val="00A8441F"/>
    <w:rsid w:val="00AA6F67"/>
    <w:rsid w:val="00AD7369"/>
    <w:rsid w:val="00AE02A0"/>
    <w:rsid w:val="00AE7CE9"/>
    <w:rsid w:val="00B3323A"/>
    <w:rsid w:val="00B55B27"/>
    <w:rsid w:val="00BA2213"/>
    <w:rsid w:val="00C14898"/>
    <w:rsid w:val="00C30926"/>
    <w:rsid w:val="00E7370A"/>
    <w:rsid w:val="00E746E7"/>
    <w:rsid w:val="00EC36C6"/>
    <w:rsid w:val="00ED5BD3"/>
    <w:rsid w:val="00F039F4"/>
    <w:rsid w:val="00FF18CA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C37667-CD2C-4691-AC36-26816D5E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b/>
      <w:bCs/>
      <w:sz w:val="26"/>
      <w:szCs w:val="26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locked/>
    <w:rPr>
      <w:rFonts w:cs="Times New Roman"/>
      <w:sz w:val="24"/>
      <w:szCs w:val="24"/>
      <w:lang w:val="uk-UA" w:eastAsia="x-none"/>
    </w:rPr>
  </w:style>
  <w:style w:type="paragraph" w:customStyle="1" w:styleId="a3">
    <w:name w:val="Цитаты"/>
    <w:basedOn w:val="a"/>
    <w:uiPriority w:val="99"/>
    <w:pPr>
      <w:widowControl w:val="0"/>
      <w:spacing w:before="100" w:after="100"/>
      <w:ind w:left="360" w:right="360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  <w:lang w:val="uk-UA" w:eastAsia="x-none"/>
    </w:rPr>
  </w:style>
  <w:style w:type="paragraph" w:styleId="a4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0"/>
      <w:szCs w:val="20"/>
      <w:lang w:val="uk-UA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0"/>
      <w:szCs w:val="20"/>
      <w:lang w:val="uk-UA" w:eastAsia="x-none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Pr>
      <w:rFonts w:ascii="Tahoma" w:hAnsi="Tahoma" w:cs="Tahoma"/>
      <w:sz w:val="16"/>
      <w:szCs w:val="16"/>
      <w:lang w:val="uk-UA" w:eastAsia="x-none"/>
    </w:rPr>
  </w:style>
  <w:style w:type="table" w:styleId="ab">
    <w:name w:val="Table Grid"/>
    <w:basedOn w:val="a1"/>
    <w:uiPriority w:val="99"/>
    <w:rsid w:val="00BA221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ViktorG</cp:lastModifiedBy>
  <cp:revision>3</cp:revision>
  <dcterms:created xsi:type="dcterms:W3CDTF">2021-04-25T12:33:00Z</dcterms:created>
  <dcterms:modified xsi:type="dcterms:W3CDTF">2021-04-25T12:35:00Z</dcterms:modified>
</cp:coreProperties>
</file>